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7D3D" w:rsidRPr="00A15CB8" w:rsidRDefault="00707D3D" w:rsidP="00707D3D">
      <w:pPr>
        <w:spacing w:after="0" w:line="240" w:lineRule="auto"/>
        <w:jc w:val="both"/>
        <w:rPr>
          <w:rFonts w:ascii="Calibri" w:hAnsi="Calibri"/>
          <w:color w:val="000000"/>
          <w:sz w:val="20"/>
        </w:rPr>
      </w:pPr>
      <w:r w:rsidRPr="00A15CB8">
        <w:rPr>
          <w:rFonts w:ascii="Calibri" w:hAnsi="Calibri"/>
          <w:color w:val="000000"/>
        </w:rPr>
        <w:t xml:space="preserve">                                                                                                           </w:t>
      </w:r>
      <w:r>
        <w:rPr>
          <w:rFonts w:ascii="Calibri" w:hAnsi="Calibri"/>
          <w:color w:val="000000"/>
        </w:rPr>
        <w:tab/>
        <w:t xml:space="preserve">  Z</w:t>
      </w:r>
      <w:r w:rsidRPr="00A15CB8">
        <w:rPr>
          <w:rFonts w:ascii="Calibri" w:hAnsi="Calibri"/>
          <w:color w:val="000000"/>
          <w:sz w:val="20"/>
        </w:rPr>
        <w:t xml:space="preserve">ałącznik nr </w:t>
      </w:r>
      <w:r>
        <w:rPr>
          <w:rFonts w:ascii="Calibri" w:hAnsi="Calibri"/>
          <w:color w:val="000000"/>
          <w:sz w:val="20"/>
        </w:rPr>
        <w:t>1</w:t>
      </w:r>
    </w:p>
    <w:p w:rsidR="00707D3D" w:rsidRPr="00A15CB8" w:rsidRDefault="00707D3D" w:rsidP="00707D3D">
      <w:pPr>
        <w:spacing w:after="0" w:line="240" w:lineRule="auto"/>
        <w:jc w:val="both"/>
        <w:rPr>
          <w:rFonts w:ascii="Calibri" w:hAnsi="Calibri"/>
          <w:color w:val="000000"/>
          <w:sz w:val="20"/>
        </w:rPr>
      </w:pPr>
      <w:r w:rsidRPr="00A15CB8">
        <w:rPr>
          <w:rFonts w:ascii="Calibri" w:hAnsi="Calibri"/>
          <w:color w:val="000000"/>
          <w:sz w:val="20"/>
        </w:rPr>
        <w:t xml:space="preserve">                                                                                                                      </w:t>
      </w:r>
      <w:r w:rsidRPr="00A15CB8">
        <w:rPr>
          <w:rFonts w:ascii="Calibri" w:hAnsi="Calibri"/>
          <w:color w:val="000000"/>
          <w:sz w:val="20"/>
        </w:rPr>
        <w:tab/>
        <w:t xml:space="preserve">  do umowy nr…………../2020</w:t>
      </w:r>
    </w:p>
    <w:p w:rsidR="00707D3D" w:rsidRDefault="00707D3D" w:rsidP="00707D3D">
      <w:pPr>
        <w:spacing w:after="0" w:line="240" w:lineRule="auto"/>
        <w:jc w:val="both"/>
        <w:rPr>
          <w:rFonts w:ascii="Calibri" w:hAnsi="Calibri"/>
          <w:color w:val="000000"/>
          <w:sz w:val="20"/>
        </w:rPr>
      </w:pPr>
      <w:r w:rsidRPr="00A15CB8">
        <w:rPr>
          <w:rFonts w:ascii="Calibri" w:hAnsi="Calibri"/>
          <w:color w:val="000000"/>
          <w:sz w:val="20"/>
        </w:rPr>
        <w:t xml:space="preserve">                                                                                                                     </w:t>
      </w:r>
      <w:r w:rsidRPr="00A15CB8">
        <w:rPr>
          <w:rFonts w:ascii="Calibri" w:hAnsi="Calibri"/>
          <w:color w:val="000000"/>
          <w:sz w:val="20"/>
        </w:rPr>
        <w:tab/>
        <w:t xml:space="preserve">  z dnia......................................</w:t>
      </w:r>
    </w:p>
    <w:p w:rsidR="00707D3D" w:rsidRDefault="00707D3D" w:rsidP="00707D3D">
      <w:pPr>
        <w:spacing w:after="0" w:line="240" w:lineRule="auto"/>
        <w:jc w:val="both"/>
        <w:rPr>
          <w:rFonts w:ascii="Calibri" w:hAnsi="Calibri"/>
          <w:color w:val="000000"/>
          <w:sz w:val="20"/>
        </w:rPr>
      </w:pPr>
    </w:p>
    <w:p w:rsidR="00AB0977" w:rsidRPr="00AB0977" w:rsidRDefault="007E0FAA" w:rsidP="00707D3D">
      <w:pPr>
        <w:jc w:val="center"/>
        <w:rPr>
          <w:b/>
        </w:rPr>
      </w:pPr>
      <w:r>
        <w:rPr>
          <w:b/>
        </w:rPr>
        <w:t>O</w:t>
      </w:r>
      <w:r w:rsidR="00AB0977" w:rsidRPr="00AB0977">
        <w:rPr>
          <w:b/>
        </w:rPr>
        <w:t>pis przedmiotu</w:t>
      </w:r>
      <w:r>
        <w:rPr>
          <w:b/>
        </w:rPr>
        <w:t xml:space="preserve"> zamówienia</w:t>
      </w:r>
    </w:p>
    <w:p w:rsidR="00AB0977" w:rsidRDefault="00AB0977" w:rsidP="00AB0977">
      <w:pPr>
        <w:jc w:val="both"/>
      </w:pPr>
      <w:r>
        <w:t xml:space="preserve">Przedmiotem zamówienia jest wykonanie dokumentacji projektowo-kosztorysowej, zgodnie </w:t>
      </w:r>
      <w:r w:rsidR="00A472D5">
        <w:br/>
      </w:r>
      <w:r>
        <w:t>z wymogami określonymi w Rozporządzeniu Ministra Infrastruktury z dnia 2 września 2004 r. w sprawie szczegółowego zakresu i formy dokumentacji projektowej, specyfikacji technicznych wykonania i odbioru robót budowlanych oraz programu funkcjonalno-użytkowego instalacji elektronicznych zabezpieczeń oddzielnie dla wskazan</w:t>
      </w:r>
      <w:r w:rsidR="008407E4">
        <w:t>ej</w:t>
      </w:r>
      <w:r>
        <w:t xml:space="preserve"> lokalizacji, z uwzględnieniem poniżej opisanych wymagań oraz pełnienie nadzoru autorskiego.</w:t>
      </w:r>
    </w:p>
    <w:p w:rsidR="00AB0977" w:rsidRPr="00E815F3" w:rsidRDefault="00AB0977" w:rsidP="00AB0977">
      <w:pPr>
        <w:rPr>
          <w:b/>
        </w:rPr>
      </w:pPr>
      <w:r w:rsidRPr="00E815F3">
        <w:rPr>
          <w:b/>
        </w:rPr>
        <w:t>Lokalizacja obiektu — ul. Krakowskie Przedmieście 21/23</w:t>
      </w:r>
    </w:p>
    <w:p w:rsidR="00AB0977" w:rsidRDefault="00AB0977" w:rsidP="00AB0977">
      <w:r>
        <w:t>1.</w:t>
      </w:r>
      <w:r>
        <w:tab/>
        <w:t>Wykonanie dokumentacji projektowej będzie dotyczyć:</w:t>
      </w:r>
    </w:p>
    <w:p w:rsidR="00AB0977" w:rsidRPr="00F60F59" w:rsidRDefault="00AB0977" w:rsidP="00F60F59">
      <w:pPr>
        <w:ind w:left="284" w:hanging="284"/>
        <w:rPr>
          <w:b/>
        </w:rPr>
      </w:pPr>
      <w:r w:rsidRPr="00F60F59">
        <w:rPr>
          <w:b/>
        </w:rPr>
        <w:t>a)</w:t>
      </w:r>
      <w:r w:rsidRPr="00F60F59">
        <w:rPr>
          <w:b/>
        </w:rPr>
        <w:tab/>
        <w:t>Systemu Sygnalizacji Włamania i Napadu (SSWIN) - elektronicznego systemu wspomagającego ochronę fizyczną w zakresie alarmowania o zdarzeniach noszących znamiona nieuprawnionego wtargnięcia (włamania);</w:t>
      </w:r>
    </w:p>
    <w:p w:rsidR="00AB0977" w:rsidRPr="00E815F3" w:rsidRDefault="00AB0977" w:rsidP="00F60F59">
      <w:pPr>
        <w:ind w:left="284" w:hanging="284"/>
        <w:rPr>
          <w:b/>
        </w:rPr>
      </w:pPr>
      <w:r w:rsidRPr="00E815F3">
        <w:rPr>
          <w:b/>
        </w:rPr>
        <w:t>b)</w:t>
      </w:r>
      <w:r w:rsidRPr="00E815F3">
        <w:rPr>
          <w:b/>
        </w:rPr>
        <w:tab/>
        <w:t>Systemu Kontroli Dostępu (SKD) - elektronicznego systemu wspomagającego ochronę fizyczną w zakresie kontrolowania ruchu osobowego i materiałowego;</w:t>
      </w:r>
    </w:p>
    <w:p w:rsidR="00AB0977" w:rsidRDefault="00AB0977" w:rsidP="00F60F59">
      <w:pPr>
        <w:ind w:left="284" w:hanging="284"/>
        <w:rPr>
          <w:b/>
        </w:rPr>
      </w:pPr>
      <w:r w:rsidRPr="00F60F59">
        <w:rPr>
          <w:b/>
        </w:rPr>
        <w:t>c)</w:t>
      </w:r>
      <w:r w:rsidRPr="00F60F59">
        <w:rPr>
          <w:b/>
        </w:rPr>
        <w:tab/>
        <w:t xml:space="preserve"> Systemu dozorowego telewizji (CCTV) - wspomagającego ochronę fizyczną</w:t>
      </w:r>
    </w:p>
    <w:p w:rsidR="00407A10" w:rsidRPr="00F60F59" w:rsidRDefault="00407A10" w:rsidP="00F60F59">
      <w:pPr>
        <w:ind w:left="284" w:hanging="284"/>
        <w:rPr>
          <w:b/>
        </w:rPr>
      </w:pPr>
      <w:r w:rsidRPr="00407A10">
        <w:rPr>
          <w:b/>
        </w:rPr>
        <w:t>d)   Systemu alarmowania pożarowego  (SAP)</w:t>
      </w:r>
    </w:p>
    <w:p w:rsidR="00AB0977" w:rsidRDefault="00AB0977" w:rsidP="00AB0977">
      <w:r>
        <w:t>2.</w:t>
      </w:r>
      <w:r>
        <w:tab/>
        <w:t>Przedmiotowa dokumentacja musi zawierać:</w:t>
      </w:r>
    </w:p>
    <w:p w:rsidR="00AB0977" w:rsidRDefault="00AB0977" w:rsidP="00AB0977">
      <w:pPr>
        <w:jc w:val="both"/>
      </w:pPr>
      <w:r>
        <w:t>a)</w:t>
      </w:r>
      <w:r>
        <w:tab/>
        <w:t xml:space="preserve">Dokumentację projektową opracowaną zgodnie z Rozporządzeniem Ministra Infrastruktury z dnia 02.09.2004 roku w sprawie szczegółowego zakresu i formy dokumentacji projektowej, specyfikacji technicznych wykonania i odbioru robót budowlanych oraz programu </w:t>
      </w:r>
      <w:proofErr w:type="spellStart"/>
      <w:r>
        <w:t>funkcjonalno</w:t>
      </w:r>
      <w:proofErr w:type="spellEnd"/>
      <w:r>
        <w:t xml:space="preserve"> - użytkowego (Dz. U. z 2004 r. nr 202, poz. 2072 z </w:t>
      </w:r>
      <w:proofErr w:type="spellStart"/>
      <w:r>
        <w:t>późn</w:t>
      </w:r>
      <w:proofErr w:type="spellEnd"/>
      <w:r>
        <w:t>. zm.) stanowiącą podstawę do wydania decyzji pozwolenia na budowę bądź zgłoszenia właściwemu organowi wykonanie robót budowlanych wraz z wszelkimi wymaganymi uzgodnieniami i ekspertyzami,</w:t>
      </w:r>
    </w:p>
    <w:p w:rsidR="00AB0977" w:rsidRDefault="00AB0977" w:rsidP="00AB0977">
      <w:pPr>
        <w:jc w:val="both"/>
      </w:pPr>
      <w:r>
        <w:t>b)</w:t>
      </w:r>
      <w:r>
        <w:tab/>
        <w:t xml:space="preserve">Specyfikacje techniczne ogólne i szczegółowe wykonania i odbioru robót budowlanych objętych przedmiotem zamówienia opracowane zgodnie z Rozporządzeniem Ministra Infrastruktury z dnia 02.09.2004 roku w sprawie szczegółowego zakresu i formy dokumentacji projektowej, specyfikacji technicznych wykonania i odbioru robót budowlanych oraz programu </w:t>
      </w:r>
      <w:proofErr w:type="spellStart"/>
      <w:r>
        <w:t>funkcjonalno</w:t>
      </w:r>
      <w:proofErr w:type="spellEnd"/>
      <w:r>
        <w:t xml:space="preserve"> - użytkowego (Dz. U. z 2004 r. nr 202, poz. 2072 z </w:t>
      </w:r>
      <w:proofErr w:type="spellStart"/>
      <w:r>
        <w:t>późn</w:t>
      </w:r>
      <w:proofErr w:type="spellEnd"/>
      <w:r>
        <w:t>. zm.) uwzględniające nazwy i kody : grup, klas oraz kategorii robót określonych w Rozporządzeniu Komisji (WE) nr 213/2008 z dnia 28.11.2007 roku zmieniające rozporządzenie (WE) nr 2195/2002 Parlamentu Europejskiego i Rady w sprawie Wspólnego Słownika Zamówień (CPV) oraz dyrektywy 2004/17/WE i 2004/18/WE Parlamentu Europejskiego i Rady dotyczące procedur udzielania zamówień publicznych w zakresie zmiany CPV,</w:t>
      </w:r>
    </w:p>
    <w:p w:rsidR="00AB0977" w:rsidRDefault="00AB0977" w:rsidP="00AB0977">
      <w:r>
        <w:t>c)</w:t>
      </w:r>
      <w:r>
        <w:tab/>
        <w:t>Projekty budowlane i wykonawcze poszczególnych branż;</w:t>
      </w:r>
    </w:p>
    <w:p w:rsidR="00AB0977" w:rsidRDefault="00AB0977" w:rsidP="00AB0977">
      <w:pPr>
        <w:jc w:val="both"/>
      </w:pPr>
      <w:r>
        <w:t>d)</w:t>
      </w:r>
      <w:r>
        <w:tab/>
        <w:t xml:space="preserve">Przedmiary robót zawierające opis robót budowlanych w kolejności technologicznej ich wykonania, z podaniem ilości jednostek przedmiarowych robót wynikających z dokumentacji projektowej oraz podstaw do ustalenia cen jednostkowych robót lub nakładów rzeczowych (nr i wydawca katalogu, nr tablicy i kolumny) opracowany na zasadach określonych w Rozporządzeniu Ministra Infrastruktury z dnia 2 września 2004 roku w sprawie szczegółowego zakresu i formy </w:t>
      </w:r>
      <w:r>
        <w:lastRenderedPageBreak/>
        <w:t>dokumentacji projektowej, specyfikacji technicznych wykonania i odbioru robót budowlanych oraz programu funkcjonalno- użytkowego. Przedmiary robót musza obejmować także inne, niezbędne czynności nie wynikające bezpośrednio z dokumentacji technicznej.</w:t>
      </w:r>
    </w:p>
    <w:p w:rsidR="00AB0977" w:rsidRDefault="00AB0977" w:rsidP="00AB0977">
      <w:pPr>
        <w:jc w:val="both"/>
      </w:pPr>
      <w:r>
        <w:t>e)</w:t>
      </w:r>
      <w:r>
        <w:tab/>
        <w:t xml:space="preserve">Kosztorysy inwestorskie sporządzone na podstawie wykonanych przedmiarów robót, spełniające wymogi zawarte w Rozporządzeniem Ministra Infrastruktury z dnia 18.05.2004 roku w sprawie określania metod i podstaw sporządzania kosztorysu inwestorskiego, obliczania planowanych kosztów prac projektowych oraz planowanych kosztów robót budowlanych określonych w programie </w:t>
      </w:r>
      <w:proofErr w:type="spellStart"/>
      <w:r>
        <w:t>funkcjonalno</w:t>
      </w:r>
      <w:proofErr w:type="spellEnd"/>
      <w:r>
        <w:t xml:space="preserve"> - użytkowym (Dz. U. z 2004 r. nr 130, poz. 1389),</w:t>
      </w:r>
    </w:p>
    <w:p w:rsidR="00AB0977" w:rsidRDefault="00AB0977" w:rsidP="00AB0977">
      <w:pPr>
        <w:jc w:val="both"/>
      </w:pPr>
      <w:r>
        <w:t>f)</w:t>
      </w:r>
      <w:r>
        <w:tab/>
        <w:t>Sporządzenie informacji dotyczących bezpieczeństwa i ochrony zdrowia w przypadkach gdy jej opracowanie jest wymagane na podstawie odrębnych przepisów;</w:t>
      </w:r>
    </w:p>
    <w:p w:rsidR="00AB0977" w:rsidRPr="0039498D" w:rsidRDefault="00AB0977" w:rsidP="00AB0977">
      <w:pPr>
        <w:jc w:val="both"/>
      </w:pPr>
      <w:r w:rsidRPr="0039498D">
        <w:t>g)</w:t>
      </w:r>
      <w:r w:rsidRPr="0039498D">
        <w:tab/>
        <w:t>Wszystkie niezbędne opinie, uzgodnienia i sprawdzenia projektowe</w:t>
      </w:r>
      <w:r w:rsidR="00D2068E" w:rsidRPr="0039498D">
        <w:t>;</w:t>
      </w:r>
    </w:p>
    <w:p w:rsidR="00E37E89" w:rsidRPr="0039498D" w:rsidRDefault="00DA20FB" w:rsidP="00AB0977">
      <w:pPr>
        <w:jc w:val="both"/>
      </w:pPr>
      <w:r>
        <w:t>h</w:t>
      </w:r>
      <w:r w:rsidR="00E37E89" w:rsidRPr="0039498D">
        <w:t xml:space="preserve">)          </w:t>
      </w:r>
      <w:r w:rsidR="00862C48" w:rsidRPr="0039498D">
        <w:t xml:space="preserve"> I</w:t>
      </w:r>
      <w:r w:rsidR="00E37E89" w:rsidRPr="0039498D">
        <w:t>nwentaryzację budowlaną budynku</w:t>
      </w:r>
      <w:r w:rsidR="00862C48" w:rsidRPr="0039498D">
        <w:t xml:space="preserve"> z uwzględnieniem istniejących systemów;</w:t>
      </w:r>
    </w:p>
    <w:p w:rsidR="00862C48" w:rsidRPr="0039498D" w:rsidRDefault="00DA20FB" w:rsidP="00AB0977">
      <w:pPr>
        <w:jc w:val="both"/>
      </w:pPr>
      <w:r>
        <w:t>i</w:t>
      </w:r>
      <w:r w:rsidR="00F10F62" w:rsidRPr="0039498D">
        <w:t>)           Bilans mocy energii elektrycznej w kontekście projektowanych systemów.</w:t>
      </w:r>
    </w:p>
    <w:p w:rsidR="00AB0977" w:rsidRDefault="00AB0977" w:rsidP="00AB0977">
      <w:pPr>
        <w:jc w:val="both"/>
      </w:pPr>
      <w:r>
        <w:t>3.</w:t>
      </w:r>
      <w:r>
        <w:tab/>
        <w:t>Zamawiający wymaga aby dokumentacja projektowa była zintegrowana z systemem kontroli dostępu (SKD)</w:t>
      </w:r>
      <w:r w:rsidR="0037011A">
        <w:t>, systemem sygnalizacji włamania i napadu (</w:t>
      </w:r>
      <w:proofErr w:type="spellStart"/>
      <w:r w:rsidR="0037011A">
        <w:t>SSWiN</w:t>
      </w:r>
      <w:proofErr w:type="spellEnd"/>
      <w:r w:rsidR="0037011A">
        <w:t>)</w:t>
      </w:r>
      <w:r>
        <w:t xml:space="preserve"> oraz systemem dozorowym (CCTV), </w:t>
      </w:r>
      <w:r w:rsidR="007543CC">
        <w:t>systemem</w:t>
      </w:r>
      <w:r w:rsidR="007C5C95">
        <w:t xml:space="preserve"> alarmowania pożarowego (SAP) </w:t>
      </w:r>
      <w:r>
        <w:t>oraz innymi systemami bezpieczeństwa użytkowanymi przez Zamawiającego</w:t>
      </w:r>
      <w:r w:rsidR="00AF2A52">
        <w:t xml:space="preserve"> oraz uwzględniała zalecenia wykonawcze ekspertyzy technicznej</w:t>
      </w:r>
      <w:r w:rsidR="00B300A3">
        <w:t xml:space="preserve"> stanu ochrony przeciwpożarowej budynku</w:t>
      </w:r>
      <w:r>
        <w:t>.</w:t>
      </w:r>
    </w:p>
    <w:p w:rsidR="00AB0977" w:rsidRDefault="00AB0977" w:rsidP="00AB0977">
      <w:pPr>
        <w:jc w:val="both"/>
      </w:pPr>
      <w:r>
        <w:t>4.</w:t>
      </w:r>
      <w:r>
        <w:tab/>
        <w:t>Wykonawca, którego oferta zostanie wybrana jako najkorzystniejsza zobowiązany będzie, przed przystąpieniem do prac projektowych do przeprowadzenia szczegółowych wizji lokalnych w obiekcie w celu doprecyzowania wymaganej do późniejszej instalacji ilości urządzeń poszczególnych systemów zabezpieczenia. Ww. analiza dopuszcza uwzględnienie dotychczas istniejących elementów elektronicznych systemów zabezpieczenia, które mogą zostać zakwalifikowane do ponownego wykorzystania. W celu wykonania powyższej analizy Wykonawca zobowiązany jest do wykonania inwentaryzacji elektronicznych systemów zabezpieczenia znajdujących się w obiektach wskazanych przez Zamawiającego i określenie ich dalszej przydatności.</w:t>
      </w:r>
    </w:p>
    <w:p w:rsidR="00AB0977" w:rsidRDefault="00AB0977" w:rsidP="00AB0977">
      <w:r>
        <w:t>5.</w:t>
      </w:r>
      <w:r>
        <w:tab/>
        <w:t>Założenia techniczne i wytyczne do projektowania.</w:t>
      </w:r>
    </w:p>
    <w:p w:rsidR="00AB0977" w:rsidRDefault="00AB0977" w:rsidP="00AB0977">
      <w:pPr>
        <w:jc w:val="both"/>
      </w:pPr>
      <w:r>
        <w:t>Nadrzędnym założeniem do sporządzenia dokumentacji wykonawczej wymaganym przez Zamawiającego jest szczegółowa konsultacja zespołu projektowego oraz ostateczne zatwierdzenie gotowego projektu zgodnie z obowiązującymi przepisami</w:t>
      </w:r>
      <w:r w:rsidR="007543CC">
        <w:t xml:space="preserve"> </w:t>
      </w:r>
      <w:r>
        <w:t>.</w:t>
      </w:r>
    </w:p>
    <w:p w:rsidR="00AB0977" w:rsidRDefault="00AB0977" w:rsidP="00AB0977">
      <w:r>
        <w:t>6.</w:t>
      </w:r>
      <w:r>
        <w:tab/>
        <w:t>Inwentaryzacja istniejących instalacji elektronicznych systemów zabezpieczeń</w:t>
      </w:r>
    </w:p>
    <w:p w:rsidR="00AB0977" w:rsidRDefault="00AB0977" w:rsidP="00AB0977">
      <w:pPr>
        <w:jc w:val="both"/>
      </w:pPr>
      <w:r>
        <w:t>We wskazanym przez Zamawiającego obiekcie obecnie znajdują się instalacje elektronicznych systemów zabezpieczeń. Na etapie tworzenia dokumentacji projektowej Wykonawca uwzględni istniejące systemy i zaprojektuje w miarę możliwości sposób ich integracji z nowoprojektowanymi systemami poprzez sporządzenie inwentaryzacji wszystkich istniejących systemów, a w szczególności:</w:t>
      </w:r>
    </w:p>
    <w:p w:rsidR="00AB0977" w:rsidRDefault="00AB0977" w:rsidP="00AB0977">
      <w:pPr>
        <w:jc w:val="both"/>
      </w:pPr>
      <w:r>
        <w:t>a)</w:t>
      </w:r>
      <w:r>
        <w:tab/>
        <w:t>określenie typu i liczby zainstalowanych urządzeń,</w:t>
      </w:r>
    </w:p>
    <w:p w:rsidR="00AB0977" w:rsidRDefault="00AB0977" w:rsidP="00AB0977">
      <w:pPr>
        <w:jc w:val="both"/>
      </w:pPr>
      <w:r>
        <w:t>b)</w:t>
      </w:r>
      <w:r>
        <w:tab/>
        <w:t>określenie lokalizacji istniejących urządzeń,</w:t>
      </w:r>
    </w:p>
    <w:p w:rsidR="00AB0977" w:rsidRDefault="00AB0977" w:rsidP="00AB0977">
      <w:pPr>
        <w:jc w:val="both"/>
      </w:pPr>
      <w:r>
        <w:t>c)</w:t>
      </w:r>
      <w:r>
        <w:tab/>
        <w:t>określenie sposobu ich zasilania,</w:t>
      </w:r>
    </w:p>
    <w:p w:rsidR="00AB0977" w:rsidRDefault="00AB0977" w:rsidP="00AB0977">
      <w:pPr>
        <w:jc w:val="both"/>
      </w:pPr>
      <w:r>
        <w:t>d)</w:t>
      </w:r>
      <w:r>
        <w:tab/>
        <w:t>określenie sposobu ich zintegrowania oraz możliwości zarządzania przez nadrzędny System Nadzoru Bezpieczeństwa.</w:t>
      </w:r>
    </w:p>
    <w:p w:rsidR="00AB0977" w:rsidRDefault="00AB0977" w:rsidP="00AB0977">
      <w:pPr>
        <w:jc w:val="both"/>
      </w:pPr>
      <w:r>
        <w:lastRenderedPageBreak/>
        <w:t>Wyniki inwentaryzacji należy przedstawić w formie opisów oraz rysunków z planami i schematami blokowymi systemów.</w:t>
      </w:r>
    </w:p>
    <w:p w:rsidR="00AB0977" w:rsidRDefault="00A472D5" w:rsidP="00AB0977">
      <w:pPr>
        <w:jc w:val="both"/>
      </w:pPr>
      <w:r>
        <w:t>7</w:t>
      </w:r>
      <w:r w:rsidR="00AB0977">
        <w:t>.</w:t>
      </w:r>
      <w:r w:rsidR="00AB0977">
        <w:tab/>
        <w:t>W trakcie opracowywania dokumentacji projektowej projektanci są zobowiązani na bieżąco uzgadniać z Zamawiającym proponowane rozwiązania techniczne.</w:t>
      </w:r>
    </w:p>
    <w:p w:rsidR="00AB0977" w:rsidRDefault="00A472D5" w:rsidP="00AB0977">
      <w:pPr>
        <w:jc w:val="both"/>
      </w:pPr>
      <w:r>
        <w:t>8</w:t>
      </w:r>
      <w:r w:rsidR="00AB0977">
        <w:t>.</w:t>
      </w:r>
      <w:r w:rsidR="00AB0977">
        <w:tab/>
        <w:t>W zakres zamówienia wchodzi również dokonywanie przez projektantów wszelkich poprawek, uzupełnień, modyfikacji w dokumentacji, których wykonanie będzie wymagane dla uzyskania pozytywnej oceny i przyjęcia dokumentacji, także w przypadku, gdy konieczność wprowadzenia takich poprawek, uzupełnień i modyfikacji wystąpi po przyjęciu przez Zamawiającego przedmiotu zamówienia i zapłacie za jego wykonanie</w:t>
      </w:r>
    </w:p>
    <w:p w:rsidR="00AB0977" w:rsidRDefault="00A472D5" w:rsidP="00AB0977">
      <w:pPr>
        <w:jc w:val="both"/>
      </w:pPr>
      <w:r>
        <w:t>9</w:t>
      </w:r>
      <w:r w:rsidR="00AB0977">
        <w:t>.</w:t>
      </w:r>
      <w:r w:rsidR="00AB0977">
        <w:tab/>
        <w:t>Wykonana dokumentacja projektowa będzie podstawą do przeprowadzenia procedury przetargowej na roboty budowlane. Dokumentacja musi zostać sporządzona z uwzględnieniem Prawa zamówień publicznych, w szczególności przepisów' dotyczących sporządzania opisu przedmiotu zamówienia tj. art. 29. Wykonawca nie może opisywać przedmiotu zamówienia (a także elementów projektu) poprzez wskazywanie znaków towarowych, patentów lub pochodzenia, źródła szczególnego procesu, który charakteryzuje produkty lub usługi dostarczane przez konkretnego wykonawcę, jeżeli mogłoby to doprowadzić do uprzywilejowania lub wyeliminowania niektórych wykonawców lub produktów, chyba że jest to uzasadnione specyfiką przedmiotu zamówienia a nie można dokonać opisu w inny sposób za pomocą dostatecznie dokładnych określeń, a wskazaniu takiemu towarzysza wyrazy „lub równoważny”. W takim przypadku Wykonawca zobowiązany jest do precyzyjnego określenia równoważności poprzez wskazanie kluczowych parametrów, które będą świadczyć o równoważności przedmiotu.</w:t>
      </w:r>
    </w:p>
    <w:p w:rsidR="00AB0977" w:rsidRDefault="00AB0977" w:rsidP="00AB0977">
      <w:pPr>
        <w:jc w:val="both"/>
      </w:pPr>
      <w:r>
        <w:t>1</w:t>
      </w:r>
      <w:r w:rsidR="00A472D5">
        <w:t>0</w:t>
      </w:r>
      <w:r>
        <w:t>.</w:t>
      </w:r>
      <w:r>
        <w:tab/>
        <w:t>Dokumentację projektową należy przekazać Zamawiającemu w wersji papierowej oraz elektronicznej w następujących ilościach:</w:t>
      </w:r>
    </w:p>
    <w:p w:rsidR="00AB0977" w:rsidRDefault="00AB0977" w:rsidP="00142A5A">
      <w:pPr>
        <w:spacing w:after="0" w:line="240" w:lineRule="auto"/>
        <w:jc w:val="both"/>
      </w:pPr>
      <w:r>
        <w:t>a)</w:t>
      </w:r>
      <w:r>
        <w:tab/>
        <w:t xml:space="preserve">Wielobranżowe projekty budowlane i wykonawcze w formie papierowej w </w:t>
      </w:r>
      <w:r w:rsidR="00E22EA5">
        <w:t>4</w:t>
      </w:r>
      <w:r>
        <w:t xml:space="preserve"> egzemplarzach,</w:t>
      </w:r>
    </w:p>
    <w:p w:rsidR="00AB0977" w:rsidRDefault="00AB0977" w:rsidP="00142A5A">
      <w:pPr>
        <w:spacing w:after="0" w:line="240" w:lineRule="auto"/>
        <w:jc w:val="both"/>
      </w:pPr>
      <w:r>
        <w:t>b)</w:t>
      </w:r>
      <w:r>
        <w:tab/>
        <w:t>Wielobranżowe projekty budowlane i wykonawcze w formie elektronicznej w formacie pdf w 2 egzemplarzach na płycie CD,</w:t>
      </w:r>
    </w:p>
    <w:p w:rsidR="00AB0977" w:rsidRDefault="00AB0977" w:rsidP="00142A5A">
      <w:pPr>
        <w:spacing w:after="0" w:line="240" w:lineRule="auto"/>
        <w:jc w:val="both"/>
      </w:pPr>
      <w:r>
        <w:t>c)</w:t>
      </w:r>
      <w:r>
        <w:tab/>
        <w:t xml:space="preserve">Przedmiary robót w formie papierowej w </w:t>
      </w:r>
      <w:r w:rsidR="00E22EA5">
        <w:t>4</w:t>
      </w:r>
      <w:r>
        <w:t xml:space="preserve"> egzemplarzach,</w:t>
      </w:r>
    </w:p>
    <w:p w:rsidR="00AB0977" w:rsidRDefault="00AB0977" w:rsidP="00142A5A">
      <w:pPr>
        <w:spacing w:after="0" w:line="240" w:lineRule="auto"/>
        <w:jc w:val="both"/>
      </w:pPr>
      <w:r>
        <w:t>d)</w:t>
      </w:r>
      <w:r>
        <w:tab/>
        <w:t>Przedmiary robót w formie elektronicznej w formacie pdf, edytowanej oraz ATH w 2 egzemplarzach (płyty CD),</w:t>
      </w:r>
    </w:p>
    <w:p w:rsidR="00AB0977" w:rsidRDefault="00AB0977" w:rsidP="00142A5A">
      <w:pPr>
        <w:spacing w:after="0" w:line="240" w:lineRule="auto"/>
        <w:jc w:val="both"/>
      </w:pPr>
      <w:r>
        <w:t>e)</w:t>
      </w:r>
      <w:r>
        <w:tab/>
        <w:t xml:space="preserve">Kosztorysy inwestorskie w formie papierowej w </w:t>
      </w:r>
      <w:r w:rsidR="00E22EA5">
        <w:t>4</w:t>
      </w:r>
      <w:r>
        <w:t xml:space="preserve"> egzemplarzach,</w:t>
      </w:r>
    </w:p>
    <w:p w:rsidR="00AB0977" w:rsidRDefault="00AB0977" w:rsidP="00142A5A">
      <w:pPr>
        <w:spacing w:after="0" w:line="240" w:lineRule="auto"/>
        <w:jc w:val="both"/>
      </w:pPr>
      <w:r>
        <w:t>f)</w:t>
      </w:r>
      <w:r>
        <w:tab/>
        <w:t>Kosztorysy inwestorskie w formie elektronicznej w formacie pdf w 2 egzemplarzach,</w:t>
      </w:r>
    </w:p>
    <w:p w:rsidR="00AB0977" w:rsidRDefault="00AB0977" w:rsidP="00142A5A">
      <w:pPr>
        <w:spacing w:after="0" w:line="240" w:lineRule="auto"/>
        <w:jc w:val="both"/>
      </w:pPr>
      <w:r>
        <w:t>g)</w:t>
      </w:r>
      <w:r>
        <w:tab/>
        <w:t xml:space="preserve">Specyfikacje techniczne ogólne i szczegółowe wykonania i odbioru robót budowlanych w formie papierowej w </w:t>
      </w:r>
      <w:r w:rsidR="00E22EA5">
        <w:t>4</w:t>
      </w:r>
      <w:r>
        <w:t xml:space="preserve"> egzemplarzach,</w:t>
      </w:r>
    </w:p>
    <w:p w:rsidR="00AB0977" w:rsidRDefault="00AB0977" w:rsidP="00142A5A">
      <w:pPr>
        <w:spacing w:after="0" w:line="240" w:lineRule="auto"/>
        <w:jc w:val="both"/>
      </w:pPr>
      <w:r>
        <w:t>h)</w:t>
      </w:r>
      <w:r>
        <w:tab/>
        <w:t>Specyfikacje techniczne ogólne i szczegółowe wykonania i odbioru robót budowlanych w' formie elektronicznej w formacie pdf w 2 egzemplarzach (płyty CD),</w:t>
      </w:r>
    </w:p>
    <w:p w:rsidR="00AB0977" w:rsidRDefault="00AB0977" w:rsidP="00142A5A">
      <w:pPr>
        <w:spacing w:after="0" w:line="240" w:lineRule="auto"/>
        <w:jc w:val="both"/>
      </w:pPr>
      <w:r>
        <w:t>i)</w:t>
      </w:r>
      <w:r>
        <w:tab/>
        <w:t>Schematy, plany i rysunki winny być dostarczone w formie elektronicznej w formacie pdf, a przypadku zastosowania innego formatu (umożliwiającego edycję) należy dostarczyć odpowiednie oprogramowanie wraz z licencją.</w:t>
      </w:r>
    </w:p>
    <w:p w:rsidR="00E06775" w:rsidRDefault="00E06775" w:rsidP="00142A5A">
      <w:pPr>
        <w:spacing w:after="0" w:line="240" w:lineRule="auto"/>
        <w:jc w:val="both"/>
      </w:pPr>
    </w:p>
    <w:p w:rsidR="00AB0977" w:rsidRDefault="00AB0977" w:rsidP="00AB0977">
      <w:pPr>
        <w:jc w:val="both"/>
      </w:pPr>
      <w:r>
        <w:t>1</w:t>
      </w:r>
      <w:r w:rsidR="00A472D5">
        <w:t>1</w:t>
      </w:r>
      <w:r>
        <w:t>.</w:t>
      </w:r>
      <w:r>
        <w:tab/>
        <w:t>W zakresie projektowym Wykonawca zobowiązany jest do wykonania kompleksowej usługi polegającej na sporządzeniu dokumentacji projektowo-kosztorysowej dla instalacji elektronicznych systemów zabezpieczeń wraz ze wszystkimi niezbędnymi ekspertyzami, opiniami i decyzjami koniecznymi do uzyskania ostatecznego pozwolenia na budowę w związku z realizacją przedmiotu zamówienia wraz z przeniesieniem autorskich praw majątkowych do wykonanej dokumentacji oraz pełnienie nadzoru autorskiego.</w:t>
      </w:r>
    </w:p>
    <w:p w:rsidR="00E06775" w:rsidRDefault="00E06775" w:rsidP="00AB0977">
      <w:pPr>
        <w:jc w:val="both"/>
      </w:pPr>
    </w:p>
    <w:p w:rsidR="00AB0977" w:rsidRPr="0037011A" w:rsidRDefault="00AB0977" w:rsidP="00AB0977">
      <w:pPr>
        <w:jc w:val="both"/>
      </w:pPr>
      <w:r>
        <w:lastRenderedPageBreak/>
        <w:t>1</w:t>
      </w:r>
      <w:r w:rsidR="00E22EA5">
        <w:t>2</w:t>
      </w:r>
      <w:r>
        <w:t>.</w:t>
      </w:r>
      <w:r>
        <w:tab/>
      </w:r>
      <w:r w:rsidRPr="0037011A">
        <w:t xml:space="preserve">Realizacja przedmiotu zamówienia została podzielona na </w:t>
      </w:r>
      <w:r w:rsidR="00F66138">
        <w:t>3</w:t>
      </w:r>
      <w:r w:rsidRPr="0037011A">
        <w:t xml:space="preserve"> etapy:</w:t>
      </w:r>
    </w:p>
    <w:p w:rsidR="00F66138" w:rsidRPr="00E22EA5" w:rsidRDefault="00AB0977" w:rsidP="00AB0977">
      <w:pPr>
        <w:jc w:val="both"/>
      </w:pPr>
      <w:r w:rsidRPr="00197076">
        <w:rPr>
          <w:b/>
        </w:rPr>
        <w:t>I</w:t>
      </w:r>
      <w:r w:rsidR="00F66138" w:rsidRPr="00197076">
        <w:rPr>
          <w:b/>
        </w:rPr>
        <w:t xml:space="preserve">    </w:t>
      </w:r>
      <w:r w:rsidRPr="00E22EA5">
        <w:rPr>
          <w:b/>
        </w:rPr>
        <w:t>etap</w:t>
      </w:r>
      <w:r w:rsidRPr="00E22EA5">
        <w:t xml:space="preserve"> - wykonanie kompleksowej dokumentacji </w:t>
      </w:r>
      <w:proofErr w:type="spellStart"/>
      <w:r w:rsidRPr="00E22EA5">
        <w:t>projektowej-wykonawczej</w:t>
      </w:r>
      <w:proofErr w:type="spellEnd"/>
      <w:r w:rsidRPr="00E22EA5">
        <w:t xml:space="preserve"> i kosztorysowej wraz z przeniesieniem autorskich praw majątkowych do wykonanej dokumentacji zgodnie z założeniami zawartymi w Opisie przedmiotu zamówienia</w:t>
      </w:r>
      <w:r w:rsidR="00F66138" w:rsidRPr="00E22EA5">
        <w:t xml:space="preserve"> </w:t>
      </w:r>
      <w:r w:rsidR="00483CB6" w:rsidRPr="00483CB6">
        <w:t>w terminie 90 dni od daty zawarcia umowy.</w:t>
      </w:r>
    </w:p>
    <w:p w:rsidR="00AB0977" w:rsidRPr="00E22EA5" w:rsidRDefault="00F66138" w:rsidP="00AB0977">
      <w:pPr>
        <w:jc w:val="both"/>
      </w:pPr>
      <w:r w:rsidRPr="00E22EA5">
        <w:rPr>
          <w:b/>
        </w:rPr>
        <w:t>II</w:t>
      </w:r>
      <w:r w:rsidR="00AB0977" w:rsidRPr="00E22EA5">
        <w:rPr>
          <w:b/>
        </w:rPr>
        <w:t xml:space="preserve"> </w:t>
      </w:r>
      <w:r w:rsidRPr="00E22EA5">
        <w:rPr>
          <w:b/>
        </w:rPr>
        <w:t xml:space="preserve">  etap</w:t>
      </w:r>
      <w:r w:rsidRPr="00E22EA5">
        <w:t xml:space="preserve"> - </w:t>
      </w:r>
      <w:r w:rsidR="00AB0977" w:rsidRPr="00E22EA5">
        <w:t>uzyskanie wszystkich niezbędnych opinii i decyzji koniecznych do uzyskania ostatecznego pozwolenia na budowę.</w:t>
      </w:r>
    </w:p>
    <w:p w:rsidR="00AB0977" w:rsidRDefault="00AB0977" w:rsidP="00AB0977">
      <w:pPr>
        <w:jc w:val="both"/>
      </w:pPr>
      <w:r w:rsidRPr="00E22EA5">
        <w:rPr>
          <w:b/>
        </w:rPr>
        <w:t>II</w:t>
      </w:r>
      <w:r w:rsidR="00F66138" w:rsidRPr="00E22EA5">
        <w:rPr>
          <w:b/>
        </w:rPr>
        <w:t xml:space="preserve">I </w:t>
      </w:r>
      <w:r w:rsidRPr="00E22EA5">
        <w:rPr>
          <w:b/>
        </w:rPr>
        <w:t>etap</w:t>
      </w:r>
      <w:r w:rsidRPr="00E22EA5">
        <w:t xml:space="preserve"> - pełnienie nadzoru autorskiego od dnia rozpoczęcia robót budowlanych do dnia protokolarnego odbioru wykonania robót budowlanych bez zastrzeżeń (planowany termin zakończenia prac 30.1</w:t>
      </w:r>
      <w:r w:rsidR="00306455" w:rsidRPr="00E22EA5">
        <w:t>2</w:t>
      </w:r>
      <w:r w:rsidRPr="00E22EA5">
        <w:t>.20</w:t>
      </w:r>
      <w:r w:rsidR="00E815F3" w:rsidRPr="00E22EA5">
        <w:t>2</w:t>
      </w:r>
      <w:r w:rsidR="00306455" w:rsidRPr="00E22EA5">
        <w:t>2</w:t>
      </w:r>
      <w:r w:rsidRPr="00E22EA5">
        <w:t>r.). Wykonawca będzie pełnił nadzór autorski sukcesywnie w całym okresie wykonywania robót budowlanych, aż do protokolarnego odbioru ich wykonania bez zastrzeżeń.</w:t>
      </w:r>
    </w:p>
    <w:p w:rsidR="00E30BA6" w:rsidRPr="00E30BA6" w:rsidRDefault="006F7217" w:rsidP="00E06775">
      <w:pPr>
        <w:spacing w:after="0" w:line="240" w:lineRule="auto"/>
        <w:jc w:val="both"/>
        <w:rPr>
          <w:rFonts w:ascii="Calibri" w:hAnsi="Calibri"/>
        </w:rPr>
      </w:pPr>
      <w:r w:rsidRPr="00142A5A">
        <w:rPr>
          <w:rFonts w:ascii="Calibri" w:hAnsi="Calibri"/>
        </w:rPr>
        <w:t>13.</w:t>
      </w:r>
      <w:r w:rsidR="00C61EF6" w:rsidRPr="00142A5A">
        <w:rPr>
          <w:rFonts w:ascii="Calibri" w:hAnsi="Calibri"/>
        </w:rPr>
        <w:t xml:space="preserve"> </w:t>
      </w:r>
      <w:r w:rsidR="00E30BA6" w:rsidRPr="00E30BA6">
        <w:rPr>
          <w:rFonts w:ascii="Calibri" w:hAnsi="Calibri" w:cs="Times New Roman"/>
        </w:rPr>
        <w:t>Warunki udziału w postepowaniu dotyczące:</w:t>
      </w:r>
    </w:p>
    <w:p w:rsidR="00E30BA6" w:rsidRDefault="00E30BA6" w:rsidP="00E06775">
      <w:pPr>
        <w:spacing w:after="0" w:line="240" w:lineRule="auto"/>
        <w:jc w:val="both"/>
        <w:rPr>
          <w:rFonts w:ascii="Calibri" w:eastAsia="Times New Roman" w:hAnsi="Calibri" w:cs="Times New Roman"/>
          <w:lang w:eastAsia="pl-PL"/>
        </w:rPr>
      </w:pPr>
      <w:r w:rsidRPr="00142A5A">
        <w:rPr>
          <w:rFonts w:ascii="Calibri" w:eastAsia="Times New Roman" w:hAnsi="Calibri" w:cs="Times New Roman"/>
          <w:lang w:eastAsia="pl-PL"/>
        </w:rPr>
        <w:t xml:space="preserve">a. Wykonawca powinien posiadać </w:t>
      </w:r>
      <w:r w:rsidRPr="00E30BA6">
        <w:rPr>
          <w:rFonts w:ascii="Calibri" w:eastAsia="Times New Roman" w:hAnsi="Calibri" w:cs="Times New Roman"/>
          <w:lang w:eastAsia="pl-PL"/>
        </w:rPr>
        <w:t>Koncesję wydaną przez Ministra Spraw Wewnętrznych na prowadzenie działalności w zakresie ochrony osób i mienia</w:t>
      </w:r>
      <w:r w:rsidRPr="00E30BA6">
        <w:rPr>
          <w:rFonts w:ascii="Calibri" w:hAnsi="Calibri" w:cs="Times New Roman"/>
        </w:rPr>
        <w:t xml:space="preserve"> </w:t>
      </w:r>
      <w:r w:rsidRPr="00E30BA6">
        <w:rPr>
          <w:rFonts w:ascii="Calibri" w:eastAsia="Times New Roman" w:hAnsi="Calibri" w:cs="Times New Roman"/>
          <w:lang w:eastAsia="pl-PL"/>
        </w:rPr>
        <w:t xml:space="preserve">realizowanych w formie zabezpieczenia technicznego. </w:t>
      </w:r>
    </w:p>
    <w:p w:rsidR="009B0E2B" w:rsidRPr="00E30BA6" w:rsidRDefault="009B0E2B" w:rsidP="00E06775">
      <w:pPr>
        <w:spacing w:after="0" w:line="240" w:lineRule="auto"/>
        <w:jc w:val="both"/>
        <w:rPr>
          <w:rFonts w:ascii="Calibri" w:eastAsia="Times New Roman" w:hAnsi="Calibri" w:cs="Times New Roman"/>
          <w:lang w:eastAsia="pl-PL"/>
        </w:rPr>
      </w:pPr>
    </w:p>
    <w:p w:rsidR="00E30BA6" w:rsidRDefault="00E30BA6" w:rsidP="00E06775">
      <w:pPr>
        <w:spacing w:after="0" w:line="240" w:lineRule="auto"/>
        <w:jc w:val="both"/>
        <w:rPr>
          <w:rFonts w:ascii="Calibri" w:eastAsia="Times New Roman" w:hAnsi="Calibri" w:cs="Times New Roman"/>
          <w:lang w:eastAsia="pl-PL"/>
        </w:rPr>
      </w:pPr>
      <w:r w:rsidRPr="00142A5A">
        <w:rPr>
          <w:rFonts w:ascii="Calibri" w:eastAsia="Times New Roman" w:hAnsi="Calibri" w:cs="Times New Roman"/>
          <w:lang w:eastAsia="pl-PL"/>
        </w:rPr>
        <w:t>b</w:t>
      </w:r>
      <w:r w:rsidRPr="00E30BA6">
        <w:rPr>
          <w:rFonts w:ascii="Calibri" w:eastAsia="Times New Roman" w:hAnsi="Calibri" w:cs="Times New Roman"/>
          <w:lang w:eastAsia="pl-PL"/>
        </w:rPr>
        <w:t>. Wykonawca spełni warunek, jeżeli wykaże, że wykonał w ciągu ostatnich trzech lat przed upływem terminu składania ofert, a jeżeli okres prowadzenia działalności jest krótszy – w tym okresie, co najmniej:</w:t>
      </w:r>
    </w:p>
    <w:p w:rsidR="00E06775" w:rsidRPr="00E30BA6" w:rsidRDefault="00E06775" w:rsidP="00E06775">
      <w:pPr>
        <w:spacing w:after="0" w:line="240" w:lineRule="auto"/>
        <w:jc w:val="both"/>
        <w:rPr>
          <w:rFonts w:ascii="Calibri" w:eastAsia="Times New Roman" w:hAnsi="Calibri" w:cs="Times New Roman"/>
          <w:lang w:eastAsia="pl-PL"/>
        </w:rPr>
      </w:pPr>
    </w:p>
    <w:p w:rsidR="00E30BA6" w:rsidRPr="00142A5A" w:rsidRDefault="00E30BA6" w:rsidP="00E06775">
      <w:pPr>
        <w:spacing w:after="0" w:line="240" w:lineRule="auto"/>
        <w:ind w:left="360"/>
        <w:contextualSpacing/>
        <w:jc w:val="both"/>
        <w:rPr>
          <w:rFonts w:ascii="Calibri" w:eastAsia="Times New Roman" w:hAnsi="Calibri" w:cs="Times New Roman"/>
          <w:lang w:eastAsia="pl-PL"/>
        </w:rPr>
      </w:pPr>
      <w:r w:rsidRPr="00142A5A">
        <w:rPr>
          <w:rFonts w:ascii="Calibri" w:eastAsia="Times New Roman" w:hAnsi="Calibri" w:cs="Times New Roman"/>
          <w:lang w:eastAsia="pl-PL"/>
        </w:rPr>
        <w:t xml:space="preserve">b.1 </w:t>
      </w:r>
      <w:r w:rsidRPr="00E30BA6">
        <w:rPr>
          <w:rFonts w:ascii="Calibri" w:eastAsia="Times New Roman" w:hAnsi="Calibri" w:cs="Times New Roman"/>
          <w:lang w:eastAsia="pl-PL"/>
        </w:rPr>
        <w:t xml:space="preserve">jedną usługę zakończoną i odebraną bez zastrzeżeń polegającą na wykonaniu kompleksowej dokumentacji projektowej </w:t>
      </w:r>
      <w:r w:rsidRPr="00E30BA6">
        <w:rPr>
          <w:rFonts w:ascii="Calibri" w:eastAsia="Times New Roman" w:hAnsi="Calibri" w:cs="Times New Roman"/>
          <w:i/>
          <w:lang w:eastAsia="pl-PL"/>
        </w:rPr>
        <w:t>zgodnej z Rozporządzeniem Ministra Infrastruktury z dnia 2 września 2004 r. w sprawie szczegółowego zakresu i form dokumentacji projektowej, specyfikacji technicznych wykonania i odbioru robót budowlanych oraz programu funkcjonalno-użytkowego</w:t>
      </w:r>
      <w:r w:rsidRPr="00E30BA6">
        <w:rPr>
          <w:rFonts w:ascii="Calibri" w:eastAsia="Times New Roman" w:hAnsi="Calibri" w:cs="Times New Roman"/>
          <w:lang w:eastAsia="pl-PL"/>
        </w:rPr>
        <w:t xml:space="preserve"> instalacji systemu </w:t>
      </w:r>
      <w:r w:rsidRPr="00142A5A">
        <w:rPr>
          <w:rFonts w:ascii="Calibri" w:eastAsia="Times New Roman" w:hAnsi="Calibri" w:cs="Times New Roman"/>
          <w:lang w:eastAsia="pl-PL"/>
        </w:rPr>
        <w:t>sygnalizacji włamania i napadu</w:t>
      </w:r>
      <w:r w:rsidRPr="00E30BA6">
        <w:rPr>
          <w:rFonts w:ascii="Calibri" w:eastAsia="Times New Roman" w:hAnsi="Calibri" w:cs="Times New Roman"/>
          <w:lang w:eastAsia="pl-PL"/>
        </w:rPr>
        <w:t xml:space="preserve"> (</w:t>
      </w:r>
      <w:proofErr w:type="spellStart"/>
      <w:r w:rsidRPr="00142A5A">
        <w:rPr>
          <w:rFonts w:ascii="Calibri" w:eastAsia="Times New Roman" w:hAnsi="Calibri" w:cs="Times New Roman"/>
          <w:lang w:eastAsia="pl-PL"/>
        </w:rPr>
        <w:t>SSWiN</w:t>
      </w:r>
      <w:proofErr w:type="spellEnd"/>
      <w:r w:rsidRPr="00E30BA6">
        <w:rPr>
          <w:rFonts w:ascii="Calibri" w:eastAsia="Times New Roman" w:hAnsi="Calibri" w:cs="Times New Roman"/>
          <w:lang w:eastAsia="pl-PL"/>
        </w:rPr>
        <w:t xml:space="preserve">) o wartości wykonanej usługi co najmniej </w:t>
      </w:r>
      <w:r w:rsidRPr="00142A5A">
        <w:rPr>
          <w:rFonts w:ascii="Calibri" w:eastAsia="Times New Roman" w:hAnsi="Calibri" w:cs="Times New Roman"/>
          <w:lang w:eastAsia="pl-PL"/>
        </w:rPr>
        <w:t>40</w:t>
      </w:r>
      <w:r w:rsidRPr="00E30BA6">
        <w:rPr>
          <w:rFonts w:ascii="Calibri" w:eastAsia="Times New Roman" w:hAnsi="Calibri" w:cs="Times New Roman"/>
          <w:lang w:eastAsia="pl-PL"/>
        </w:rPr>
        <w:t xml:space="preserve">.000 zł brutto, </w:t>
      </w:r>
    </w:p>
    <w:p w:rsidR="00E30BA6" w:rsidRPr="00E30BA6" w:rsidRDefault="00E30BA6" w:rsidP="00E06775">
      <w:pPr>
        <w:spacing w:after="0" w:line="240" w:lineRule="auto"/>
        <w:ind w:left="360"/>
        <w:contextualSpacing/>
        <w:jc w:val="both"/>
        <w:rPr>
          <w:rFonts w:ascii="Calibri" w:eastAsia="Times New Roman" w:hAnsi="Calibri" w:cs="Times New Roman"/>
          <w:lang w:eastAsia="pl-PL"/>
        </w:rPr>
      </w:pPr>
    </w:p>
    <w:p w:rsidR="00E30BA6" w:rsidRPr="00142A5A" w:rsidRDefault="00E30BA6" w:rsidP="00E06775">
      <w:pPr>
        <w:spacing w:after="0" w:line="240" w:lineRule="auto"/>
        <w:ind w:left="360"/>
        <w:contextualSpacing/>
        <w:jc w:val="both"/>
        <w:rPr>
          <w:rFonts w:ascii="Calibri" w:eastAsia="Times New Roman" w:hAnsi="Calibri" w:cs="Times New Roman"/>
          <w:lang w:eastAsia="pl-PL"/>
        </w:rPr>
      </w:pPr>
      <w:r w:rsidRPr="00142A5A">
        <w:rPr>
          <w:rFonts w:ascii="Calibri" w:eastAsia="Times New Roman" w:hAnsi="Calibri" w:cs="Times New Roman"/>
          <w:lang w:eastAsia="pl-PL"/>
        </w:rPr>
        <w:t xml:space="preserve">b.2 </w:t>
      </w:r>
      <w:r w:rsidRPr="00E30BA6">
        <w:rPr>
          <w:rFonts w:ascii="Calibri" w:eastAsia="Times New Roman" w:hAnsi="Calibri" w:cs="Times New Roman"/>
          <w:lang w:eastAsia="pl-PL"/>
        </w:rPr>
        <w:t xml:space="preserve">jedną usługę zakończoną i odebraną bez zastrzeżeń polegającą na wykonaniu kompleksowej dokumentacji projektowej </w:t>
      </w:r>
      <w:r w:rsidRPr="00E30BA6">
        <w:rPr>
          <w:rFonts w:ascii="Calibri" w:eastAsia="Times New Roman" w:hAnsi="Calibri" w:cs="Times New Roman"/>
          <w:i/>
          <w:lang w:eastAsia="pl-PL"/>
        </w:rPr>
        <w:t>zgodnej z Rozporządzeniem Ministra Infrastruktury z dnia 2 września 2004 r. w sprawie szczegółowego zakresu i form dokumentacji projektowej, specyfikacji technicznych wykonania i odbioru robót budowlanych oraz programu funkcjonalno-użytkowego</w:t>
      </w:r>
      <w:r w:rsidRPr="00E30BA6">
        <w:rPr>
          <w:rFonts w:ascii="Calibri" w:eastAsia="Times New Roman" w:hAnsi="Calibri" w:cs="Times New Roman"/>
          <w:lang w:eastAsia="pl-PL"/>
        </w:rPr>
        <w:t xml:space="preserve"> instalacji systemu </w:t>
      </w:r>
      <w:r w:rsidRPr="00142A5A">
        <w:rPr>
          <w:rFonts w:ascii="Calibri" w:eastAsia="Times New Roman" w:hAnsi="Calibri" w:cs="Times New Roman"/>
          <w:lang w:eastAsia="pl-PL"/>
        </w:rPr>
        <w:t xml:space="preserve">kontroli dostępu </w:t>
      </w:r>
      <w:r w:rsidRPr="00E30BA6">
        <w:rPr>
          <w:rFonts w:ascii="Calibri" w:eastAsia="Times New Roman" w:hAnsi="Calibri" w:cs="Times New Roman"/>
          <w:lang w:eastAsia="pl-PL"/>
        </w:rPr>
        <w:t>(</w:t>
      </w:r>
      <w:r w:rsidRPr="00142A5A">
        <w:rPr>
          <w:rFonts w:ascii="Calibri" w:eastAsia="Times New Roman" w:hAnsi="Calibri" w:cs="Times New Roman"/>
          <w:lang w:eastAsia="pl-PL"/>
        </w:rPr>
        <w:t>SKD</w:t>
      </w:r>
      <w:r w:rsidRPr="00E30BA6">
        <w:rPr>
          <w:rFonts w:ascii="Calibri" w:eastAsia="Times New Roman" w:hAnsi="Calibri" w:cs="Times New Roman"/>
          <w:lang w:eastAsia="pl-PL"/>
        </w:rPr>
        <w:t xml:space="preserve">) o wartości wykonanej usługi co najmniej </w:t>
      </w:r>
      <w:r w:rsidRPr="00142A5A">
        <w:rPr>
          <w:rFonts w:ascii="Calibri" w:eastAsia="Times New Roman" w:hAnsi="Calibri" w:cs="Times New Roman"/>
          <w:lang w:eastAsia="pl-PL"/>
        </w:rPr>
        <w:t>40</w:t>
      </w:r>
      <w:r w:rsidRPr="00E30BA6">
        <w:rPr>
          <w:rFonts w:ascii="Calibri" w:eastAsia="Times New Roman" w:hAnsi="Calibri" w:cs="Times New Roman"/>
          <w:lang w:eastAsia="pl-PL"/>
        </w:rPr>
        <w:t>.000 zł brutto.</w:t>
      </w:r>
    </w:p>
    <w:p w:rsidR="00E30BA6" w:rsidRPr="00142A5A" w:rsidRDefault="00E30BA6" w:rsidP="00E06775">
      <w:pPr>
        <w:spacing w:after="0" w:line="240" w:lineRule="auto"/>
        <w:ind w:left="360"/>
        <w:contextualSpacing/>
        <w:jc w:val="both"/>
        <w:rPr>
          <w:rFonts w:ascii="Calibri" w:eastAsia="Times New Roman" w:hAnsi="Calibri" w:cs="Times New Roman"/>
          <w:lang w:eastAsia="pl-PL"/>
        </w:rPr>
      </w:pPr>
    </w:p>
    <w:p w:rsidR="00E30BA6" w:rsidRDefault="00E30BA6" w:rsidP="00E06775">
      <w:pPr>
        <w:spacing w:after="0" w:line="240" w:lineRule="auto"/>
        <w:ind w:left="360"/>
        <w:contextualSpacing/>
        <w:jc w:val="both"/>
        <w:rPr>
          <w:rFonts w:ascii="Calibri" w:eastAsia="Times New Roman" w:hAnsi="Calibri" w:cs="Times New Roman"/>
          <w:lang w:eastAsia="pl-PL"/>
        </w:rPr>
      </w:pPr>
      <w:r w:rsidRPr="00142A5A">
        <w:rPr>
          <w:rFonts w:ascii="Calibri" w:eastAsia="Times New Roman" w:hAnsi="Calibri" w:cs="Times New Roman"/>
          <w:lang w:eastAsia="pl-PL"/>
        </w:rPr>
        <w:t>b.3 jedną usługę zakończoną i odebraną bez zastrzeżeń polegającą na wykonaniu kompleksowej dokumentacji projektowej zgodnej z Rozporządzeniem Ministra Infrastruktury z dnia 2 września 2004 r. w sprawie szczegółowego zakresu i form dokumentacji projektowej, specyfikacji technicznych wykonania i odbioru robót budowlanych oraz programu funkcjonalno-użytkowego instalacji systemu dozorowego telewizji (CCTV) o wartości wykonanej usługi co najmniej 40.000 zł brutto</w:t>
      </w:r>
    </w:p>
    <w:p w:rsidR="00407A10" w:rsidRDefault="00407A10" w:rsidP="00E06775">
      <w:pPr>
        <w:spacing w:after="0" w:line="240" w:lineRule="auto"/>
        <w:ind w:left="360"/>
        <w:contextualSpacing/>
        <w:jc w:val="both"/>
        <w:rPr>
          <w:rFonts w:ascii="Calibri" w:eastAsia="Times New Roman" w:hAnsi="Calibri" w:cs="Times New Roman"/>
          <w:lang w:eastAsia="pl-PL"/>
        </w:rPr>
      </w:pPr>
    </w:p>
    <w:p w:rsidR="00407A10" w:rsidRPr="00E30BA6" w:rsidRDefault="00407A10" w:rsidP="00E06775">
      <w:pPr>
        <w:spacing w:after="0" w:line="240" w:lineRule="auto"/>
        <w:ind w:left="360"/>
        <w:contextualSpacing/>
        <w:jc w:val="both"/>
        <w:rPr>
          <w:rFonts w:ascii="Calibri" w:eastAsia="Times New Roman" w:hAnsi="Calibri" w:cs="Times New Roman"/>
          <w:lang w:eastAsia="pl-PL"/>
        </w:rPr>
      </w:pPr>
      <w:r w:rsidRPr="00407A10">
        <w:rPr>
          <w:rFonts w:ascii="Calibri" w:eastAsia="Times New Roman" w:hAnsi="Calibri" w:cs="Times New Roman"/>
          <w:lang w:eastAsia="pl-PL"/>
        </w:rPr>
        <w:t>b.</w:t>
      </w:r>
      <w:r>
        <w:rPr>
          <w:rFonts w:ascii="Calibri" w:eastAsia="Times New Roman" w:hAnsi="Calibri" w:cs="Times New Roman"/>
          <w:lang w:eastAsia="pl-PL"/>
        </w:rPr>
        <w:t>4</w:t>
      </w:r>
      <w:r w:rsidRPr="00407A10">
        <w:rPr>
          <w:rFonts w:ascii="Calibri" w:eastAsia="Times New Roman" w:hAnsi="Calibri" w:cs="Times New Roman"/>
          <w:lang w:eastAsia="pl-PL"/>
        </w:rPr>
        <w:t xml:space="preserve"> jedną usługę zakończoną i odebraną bez zastrzeżeń polegającą na wykonaniu kompleksowej dokumentacji projektowej zgodnej z Rozporządzeniem Ministra Infrastruktury z dnia 2 września 2004 r. w sprawie szczegółowego zakresu i form dokumentacji projektowej, specyfikacji technicznych wykonania i odbioru robót budowlanych oraz programu funkcjonalno-użytkowego </w:t>
      </w:r>
      <w:r>
        <w:rPr>
          <w:rFonts w:ascii="Calibri" w:eastAsia="Times New Roman" w:hAnsi="Calibri" w:cs="Times New Roman"/>
          <w:lang w:eastAsia="pl-PL"/>
        </w:rPr>
        <w:t>s</w:t>
      </w:r>
      <w:r w:rsidRPr="00407A10">
        <w:rPr>
          <w:rFonts w:ascii="Calibri" w:eastAsia="Times New Roman" w:hAnsi="Calibri" w:cs="Times New Roman"/>
          <w:lang w:eastAsia="pl-PL"/>
        </w:rPr>
        <w:t>ystemu alarmowania pożarowego  (SAP) o wartości wykonanej usługi co najmniej 40.000 zł brutto</w:t>
      </w:r>
    </w:p>
    <w:p w:rsidR="00E30BA6" w:rsidRPr="00E30BA6" w:rsidRDefault="00E30BA6" w:rsidP="00E30BA6">
      <w:pPr>
        <w:spacing w:after="0" w:line="360" w:lineRule="auto"/>
        <w:jc w:val="both"/>
        <w:rPr>
          <w:rFonts w:ascii="Calibri" w:eastAsia="Times New Roman" w:hAnsi="Calibri" w:cs="Times New Roman"/>
          <w:color w:val="FF0000"/>
          <w:lang w:eastAsia="pl-PL"/>
        </w:rPr>
      </w:pPr>
    </w:p>
    <w:p w:rsidR="00E30BA6" w:rsidRDefault="00E30BA6" w:rsidP="00294B1B">
      <w:pPr>
        <w:spacing w:after="0" w:line="240" w:lineRule="auto"/>
        <w:jc w:val="both"/>
        <w:rPr>
          <w:rFonts w:ascii="Calibri" w:eastAsia="Calibri" w:hAnsi="Calibri" w:cs="Times New Roman"/>
        </w:rPr>
      </w:pPr>
      <w:r w:rsidRPr="00E30BA6">
        <w:rPr>
          <w:rFonts w:ascii="Calibri" w:eastAsia="Times New Roman" w:hAnsi="Calibri" w:cs="Times New Roman"/>
          <w:lang w:eastAsia="pl-PL"/>
        </w:rPr>
        <w:lastRenderedPageBreak/>
        <w:t>c.</w:t>
      </w:r>
      <w:r w:rsidRPr="00142A5A">
        <w:rPr>
          <w:rFonts w:ascii="Calibri" w:eastAsia="Times New Roman" w:hAnsi="Calibri" w:cs="Times New Roman"/>
          <w:lang w:eastAsia="pl-PL"/>
        </w:rPr>
        <w:t xml:space="preserve"> </w:t>
      </w:r>
      <w:r w:rsidRPr="00E30BA6">
        <w:rPr>
          <w:rFonts w:ascii="Calibri" w:eastAsia="Calibri" w:hAnsi="Calibri" w:cs="Times New Roman"/>
        </w:rPr>
        <w:t>Wykonawca spełni warunek, jeżeli wykaże, że dysponuje osobami zdolnymi do wykonania zamówienia, które posiadają uprawnienia do wykonywania samodzielnych funkcji w budownictwie bez ograniczeń do projektowania w specjalności (minimum jedną w każdej z poniżej wskazanych branży):</w:t>
      </w:r>
    </w:p>
    <w:p w:rsidR="009B0E2B" w:rsidRPr="00E30BA6" w:rsidRDefault="009B0E2B" w:rsidP="00294B1B">
      <w:pPr>
        <w:spacing w:after="0" w:line="240" w:lineRule="auto"/>
        <w:jc w:val="both"/>
        <w:rPr>
          <w:rFonts w:ascii="Calibri" w:eastAsia="Calibri" w:hAnsi="Calibri" w:cs="Times New Roman"/>
        </w:rPr>
      </w:pPr>
    </w:p>
    <w:p w:rsidR="00E30BA6" w:rsidRDefault="00E30BA6" w:rsidP="00294B1B">
      <w:pPr>
        <w:spacing w:after="0" w:line="240" w:lineRule="auto"/>
        <w:ind w:left="284"/>
        <w:jc w:val="both"/>
        <w:rPr>
          <w:rFonts w:ascii="Calibri" w:eastAsia="Calibri" w:hAnsi="Calibri" w:cs="Times New Roman"/>
        </w:rPr>
      </w:pPr>
      <w:r w:rsidRPr="00142A5A">
        <w:rPr>
          <w:rFonts w:ascii="Calibri" w:eastAsia="Calibri" w:hAnsi="Calibri" w:cs="Times New Roman"/>
        </w:rPr>
        <w:t>c.1</w:t>
      </w:r>
      <w:r w:rsidRPr="00E30BA6">
        <w:rPr>
          <w:rFonts w:ascii="Calibri" w:eastAsia="Calibri" w:hAnsi="Calibri" w:cs="Times New Roman"/>
        </w:rPr>
        <w:t xml:space="preserve"> architektonicznej bez ograniczeń – posiadająca minimum dwuletnie doświadczenie zawodowe od uzyskania uprawnień oraz doświadczenie w wykonaniu co najmniej jednej wielobranżowej dokumentacji projektowej o wartości co najmniej 100.000 zł brutto obejmującej roboty budowlane budynku lub zespołu budynków wpisanych do rejestru zabytków, z wyłączeniem rozbiórki obiektu budowlanego;</w:t>
      </w:r>
    </w:p>
    <w:p w:rsidR="009B0E2B" w:rsidRPr="00E30BA6" w:rsidRDefault="009B0E2B" w:rsidP="00294B1B">
      <w:pPr>
        <w:spacing w:after="0" w:line="240" w:lineRule="auto"/>
        <w:ind w:left="284"/>
        <w:jc w:val="both"/>
        <w:rPr>
          <w:rFonts w:ascii="Calibri" w:eastAsia="Calibri" w:hAnsi="Calibri" w:cs="Times New Roman"/>
        </w:rPr>
      </w:pPr>
    </w:p>
    <w:p w:rsidR="00E30BA6" w:rsidRDefault="00E30BA6" w:rsidP="00294B1B">
      <w:pPr>
        <w:spacing w:after="0" w:line="240" w:lineRule="auto"/>
        <w:ind w:left="284"/>
        <w:jc w:val="both"/>
        <w:rPr>
          <w:rFonts w:ascii="Calibri" w:eastAsia="Calibri" w:hAnsi="Calibri" w:cs="Times New Roman"/>
        </w:rPr>
      </w:pPr>
      <w:r w:rsidRPr="00142A5A">
        <w:rPr>
          <w:rFonts w:ascii="Calibri" w:eastAsia="Calibri" w:hAnsi="Calibri" w:cs="Times New Roman"/>
        </w:rPr>
        <w:t>c.2</w:t>
      </w:r>
      <w:r w:rsidRPr="00E30BA6">
        <w:rPr>
          <w:rFonts w:ascii="Calibri" w:eastAsia="Calibri" w:hAnsi="Calibri" w:cs="Times New Roman"/>
        </w:rPr>
        <w:t xml:space="preserve"> instalacyjnej w zakresie sieci, instalacji i urządzeń elektrycznych, elektroenergetycznych bez ograniczeń - posiadająca minimum dwuletnie doświadczenie zawodowe od uzyskania uprawnień oraz doświadczenie w wykonaniu co najmniej jednej wielobranżowej dokumentacji projektowej o wartości co najmniej 100.000 zł brutto obejmującej roboty budowlane budynku lub zespołu budynków, z wyłączeniem rozbiórki obiektu budowlanego;</w:t>
      </w:r>
    </w:p>
    <w:p w:rsidR="009B0E2B" w:rsidRPr="00E30BA6" w:rsidRDefault="009B0E2B" w:rsidP="00294B1B">
      <w:pPr>
        <w:spacing w:after="0" w:line="240" w:lineRule="auto"/>
        <w:ind w:left="284"/>
        <w:jc w:val="both"/>
        <w:rPr>
          <w:rFonts w:ascii="Calibri" w:eastAsia="Calibri" w:hAnsi="Calibri" w:cs="Times New Roman"/>
        </w:rPr>
      </w:pPr>
    </w:p>
    <w:p w:rsidR="00E30BA6" w:rsidRDefault="00E30BA6" w:rsidP="00294B1B">
      <w:pPr>
        <w:spacing w:after="0" w:line="240" w:lineRule="auto"/>
        <w:ind w:left="284"/>
        <w:jc w:val="both"/>
        <w:rPr>
          <w:rFonts w:ascii="Calibri" w:eastAsia="Calibri" w:hAnsi="Calibri" w:cs="Times New Roman"/>
        </w:rPr>
      </w:pPr>
      <w:r w:rsidRPr="00142A5A">
        <w:rPr>
          <w:rFonts w:ascii="Calibri" w:eastAsia="Calibri" w:hAnsi="Calibri" w:cs="Times New Roman"/>
        </w:rPr>
        <w:t>c.3</w:t>
      </w:r>
      <w:r w:rsidRPr="00E30BA6">
        <w:rPr>
          <w:rFonts w:ascii="Calibri" w:eastAsia="Calibri" w:hAnsi="Calibri" w:cs="Times New Roman"/>
        </w:rPr>
        <w:t xml:space="preserve"> instalacyjnej w zakresie sieci, instalacji i urządzeń telekomunikacyjnych bez ograniczeń- posiadająca minimum dwuletnie doświadczenie zawodowe od uzyskania uprawnień oraz doświadczenie w wykonaniu co najmniej jednej wielobranżowej dokumentacji projektowej o wartości co najmniej 50.000 zł brutto obejmującej roboty budowlane budynku lub zespołu budynków, z wyłączeniem rozbiórki obiektu budowlanego</w:t>
      </w:r>
      <w:r w:rsidR="009B0E2B">
        <w:rPr>
          <w:rFonts w:ascii="Calibri" w:eastAsia="Calibri" w:hAnsi="Calibri" w:cs="Times New Roman"/>
        </w:rPr>
        <w:t>;</w:t>
      </w:r>
    </w:p>
    <w:p w:rsidR="009B0E2B" w:rsidRPr="00E30BA6" w:rsidRDefault="009B0E2B" w:rsidP="00294B1B">
      <w:pPr>
        <w:spacing w:after="0" w:line="240" w:lineRule="auto"/>
        <w:ind w:left="284"/>
        <w:jc w:val="both"/>
        <w:rPr>
          <w:rFonts w:ascii="Calibri" w:eastAsia="Calibri" w:hAnsi="Calibri" w:cs="Times New Roman"/>
        </w:rPr>
      </w:pPr>
    </w:p>
    <w:p w:rsidR="00283ABD" w:rsidRPr="00415AB1" w:rsidRDefault="006F7217" w:rsidP="00283ABD">
      <w:pPr>
        <w:spacing w:before="120" w:after="120" w:line="240" w:lineRule="auto"/>
        <w:jc w:val="both"/>
        <w:rPr>
          <w:rFonts w:cstheme="minorHAnsi"/>
        </w:rPr>
      </w:pPr>
      <w:r>
        <w:rPr>
          <w:rFonts w:cstheme="minorHAnsi"/>
        </w:rPr>
        <w:t>1</w:t>
      </w:r>
      <w:r w:rsidR="00EE1F60">
        <w:rPr>
          <w:rFonts w:cstheme="minorHAnsi"/>
        </w:rPr>
        <w:t>4</w:t>
      </w:r>
      <w:r w:rsidR="00283ABD" w:rsidRPr="00415AB1">
        <w:rPr>
          <w:rFonts w:cstheme="minorHAnsi"/>
        </w:rPr>
        <w:t>.</w:t>
      </w:r>
      <w:r w:rsidR="00283ABD" w:rsidRPr="00415AB1">
        <w:rPr>
          <w:rFonts w:cstheme="minorHAnsi"/>
        </w:rPr>
        <w:tab/>
        <w:t>Podstawy prawne i normatywne</w:t>
      </w:r>
    </w:p>
    <w:p w:rsidR="00283ABD" w:rsidRPr="00283ABD" w:rsidRDefault="00283ABD" w:rsidP="00283ABD">
      <w:pPr>
        <w:spacing w:before="120" w:after="120" w:line="240" w:lineRule="auto"/>
        <w:jc w:val="both"/>
        <w:rPr>
          <w:rFonts w:cs="Times New Roman"/>
        </w:rPr>
      </w:pPr>
      <w:r w:rsidRPr="00283ABD">
        <w:rPr>
          <w:rFonts w:cs="Times New Roman"/>
        </w:rPr>
        <w:t>Podczas wykonywania przedmiotu zamówienia Wykonawca będzie się kierował wytycznymi zawartymi w przedstawionych poniżej aktach prawnych i normach branżowych:</w:t>
      </w:r>
    </w:p>
    <w:p w:rsidR="00283ABD" w:rsidRPr="00283ABD" w:rsidRDefault="00283ABD" w:rsidP="00283ABD">
      <w:pPr>
        <w:spacing w:before="120" w:after="120" w:line="240" w:lineRule="auto"/>
        <w:ind w:left="284"/>
        <w:jc w:val="both"/>
        <w:rPr>
          <w:rFonts w:cs="Times New Roman"/>
        </w:rPr>
      </w:pPr>
      <w:r w:rsidRPr="00283ABD">
        <w:rPr>
          <w:rFonts w:cs="Times New Roman"/>
        </w:rPr>
        <w:t>Ustawa z dnia 4 września 1997 r. o działach administracji rządowej</w:t>
      </w:r>
      <w:r w:rsidR="00C10232" w:rsidRPr="00C10232">
        <w:rPr>
          <w:rFonts w:cs="Times New Roman"/>
        </w:rPr>
        <w:t>.</w:t>
      </w:r>
    </w:p>
    <w:p w:rsidR="00283ABD" w:rsidRPr="00283ABD" w:rsidRDefault="00283ABD" w:rsidP="00283ABD">
      <w:pPr>
        <w:spacing w:before="120" w:after="120" w:line="240" w:lineRule="auto"/>
        <w:ind w:left="284"/>
        <w:jc w:val="both"/>
        <w:rPr>
          <w:rFonts w:cs="Times New Roman"/>
        </w:rPr>
      </w:pPr>
      <w:r w:rsidRPr="00283ABD">
        <w:rPr>
          <w:rFonts w:cs="Times New Roman"/>
        </w:rPr>
        <w:t>Ustawa z dnia 22 sierpnia 1997 r. o ochronie osób i mienia wraz z przepisami wykonawczymi, Ustawa z dnia 29 sierpnia I997r. o ochronie danych osobowych</w:t>
      </w:r>
      <w:r w:rsidR="00C10232" w:rsidRPr="00C10232">
        <w:rPr>
          <w:rFonts w:cs="Times New Roman"/>
        </w:rPr>
        <w:t>.</w:t>
      </w:r>
    </w:p>
    <w:p w:rsidR="00283ABD" w:rsidRPr="00283ABD" w:rsidRDefault="00283ABD" w:rsidP="00283ABD">
      <w:pPr>
        <w:spacing w:before="120" w:after="120" w:line="240" w:lineRule="auto"/>
        <w:ind w:left="284"/>
        <w:jc w:val="both"/>
        <w:rPr>
          <w:rFonts w:cs="Times New Roman"/>
        </w:rPr>
      </w:pPr>
      <w:r w:rsidRPr="00283ABD">
        <w:rPr>
          <w:rFonts w:cs="Times New Roman"/>
        </w:rPr>
        <w:t>Ustawa z dnia 5 sierpnia 2010 r. o ochronie informacji niejawnych</w:t>
      </w:r>
      <w:r w:rsidR="00C10232" w:rsidRPr="00C10232">
        <w:rPr>
          <w:rFonts w:cs="Times New Roman"/>
        </w:rPr>
        <w:t>.</w:t>
      </w:r>
    </w:p>
    <w:p w:rsidR="00283ABD" w:rsidRPr="00283ABD" w:rsidRDefault="00283ABD" w:rsidP="00283ABD">
      <w:pPr>
        <w:spacing w:before="120" w:after="120" w:line="240" w:lineRule="auto"/>
        <w:ind w:left="284"/>
        <w:jc w:val="both"/>
        <w:rPr>
          <w:rFonts w:cs="Times New Roman"/>
        </w:rPr>
      </w:pPr>
      <w:r w:rsidRPr="00283ABD">
        <w:rPr>
          <w:rFonts w:cs="Times New Roman"/>
        </w:rPr>
        <w:t>Ustawa z dnia 26 kwietnia 2007r. o zarządzaniu kryzysowym</w:t>
      </w:r>
      <w:r w:rsidR="00C10232" w:rsidRPr="00C10232">
        <w:rPr>
          <w:rFonts w:cs="Times New Roman"/>
        </w:rPr>
        <w:t>.</w:t>
      </w:r>
    </w:p>
    <w:p w:rsidR="00283ABD" w:rsidRPr="00283ABD" w:rsidRDefault="00283ABD" w:rsidP="00283ABD">
      <w:pPr>
        <w:spacing w:before="120" w:after="120" w:line="240" w:lineRule="auto"/>
        <w:ind w:left="284"/>
        <w:jc w:val="both"/>
        <w:rPr>
          <w:rFonts w:cs="Times New Roman"/>
        </w:rPr>
      </w:pPr>
      <w:r w:rsidRPr="00283ABD">
        <w:rPr>
          <w:rFonts w:cs="Times New Roman"/>
        </w:rPr>
        <w:t>Rozporządzenie Rady Ministrów z dnia 7 grudnia 2011 r. w sprawie organizacji i funkcjonowania kancelarii tajnych oraz sposobu i trybu przetwarzania informacji niejawnych</w:t>
      </w:r>
      <w:r w:rsidR="00C10232" w:rsidRPr="00C10232">
        <w:rPr>
          <w:rFonts w:cs="Times New Roman"/>
        </w:rPr>
        <w:t>.</w:t>
      </w:r>
    </w:p>
    <w:p w:rsidR="00283ABD" w:rsidRPr="00283ABD" w:rsidRDefault="00283ABD" w:rsidP="00283ABD">
      <w:pPr>
        <w:spacing w:before="120" w:after="120" w:line="240" w:lineRule="auto"/>
        <w:ind w:left="284"/>
        <w:jc w:val="both"/>
        <w:rPr>
          <w:rFonts w:cs="Times New Roman"/>
        </w:rPr>
      </w:pPr>
      <w:r w:rsidRPr="00283ABD">
        <w:rPr>
          <w:rFonts w:cs="Times New Roman"/>
        </w:rPr>
        <w:t>Rozporządzenia Prezesa Rady Ministrów z dnia 7 grudnia 2011 r. w sprawie nadawania, przyjmowania, przewożenia, wydawania i ochrony materiałów zawierających informacje niejawne, Rozporządzenie Rady Ministrów z dnia 29 maja 2012 r. w sprawie środków bezpieczeństwa fizycznego stosowanych do zabezpieczania informacji niejawnych</w:t>
      </w:r>
      <w:r w:rsidRPr="00C10232">
        <w:rPr>
          <w:rFonts w:cs="Times New Roman"/>
        </w:rPr>
        <w:t>.</w:t>
      </w:r>
    </w:p>
    <w:p w:rsidR="00283ABD" w:rsidRPr="00283ABD" w:rsidRDefault="00283ABD" w:rsidP="00283ABD">
      <w:pPr>
        <w:spacing w:before="120" w:after="120" w:line="240" w:lineRule="auto"/>
        <w:jc w:val="both"/>
        <w:rPr>
          <w:rFonts w:cs="Times New Roman"/>
        </w:rPr>
      </w:pPr>
      <w:r w:rsidRPr="00283ABD">
        <w:rPr>
          <w:rFonts w:cs="Times New Roman"/>
        </w:rPr>
        <w:t>Wybrane normy branżowe odnoszące się do systemów i urządzeń zabezpieczenia technicznego: Systemy alarmowa</w:t>
      </w:r>
    </w:p>
    <w:p w:rsidR="00283ABD" w:rsidRPr="00283ABD" w:rsidRDefault="00283ABD" w:rsidP="00283ABD">
      <w:pPr>
        <w:spacing w:before="120" w:after="120" w:line="240" w:lineRule="auto"/>
        <w:ind w:left="284"/>
        <w:jc w:val="both"/>
        <w:rPr>
          <w:rFonts w:cs="Times New Roman"/>
        </w:rPr>
      </w:pPr>
      <w:r w:rsidRPr="00283ABD">
        <w:rPr>
          <w:rFonts w:cs="Times New Roman"/>
        </w:rPr>
        <w:t>PN-EN 50130-4:2012 Systemy alarmowe - Część 4: Kompatybilność elektromagnetyczna - Norma dla grupy wyrobów: Wymagania dotyczące odporności urządzeń systemów sygnalizacji pożarowej, sygnalizacji włamania, sygnalizacji napadu, CCTV, kontroli dostępu i osobistych PN-EN 50130-5:2012 Systemy alarmowe - Część 5: Próby środowiskowe Systemy alarmowe sygnalizacji włamania i napadu I&amp;HAS</w:t>
      </w:r>
      <w:r w:rsidR="00C10232" w:rsidRPr="00C10232">
        <w:rPr>
          <w:rFonts w:cs="Times New Roman"/>
        </w:rPr>
        <w:t>.</w:t>
      </w:r>
    </w:p>
    <w:p w:rsidR="00283ABD" w:rsidRPr="00283ABD" w:rsidRDefault="00283ABD" w:rsidP="00283ABD">
      <w:pPr>
        <w:spacing w:before="120" w:after="120" w:line="240" w:lineRule="auto"/>
        <w:ind w:left="284"/>
        <w:jc w:val="both"/>
        <w:rPr>
          <w:rFonts w:cs="Times New Roman"/>
        </w:rPr>
      </w:pPr>
      <w:r w:rsidRPr="00283ABD">
        <w:rPr>
          <w:rFonts w:cs="Times New Roman"/>
        </w:rPr>
        <w:t>PN-EN 50131-1 - Systemy alarmowe - Systemy sygnalizacji włamania i napadu - Część 1: Wymagania systemowe</w:t>
      </w:r>
      <w:r w:rsidR="00C10232" w:rsidRPr="00C10232">
        <w:rPr>
          <w:rFonts w:cs="Times New Roman"/>
        </w:rPr>
        <w:t>.</w:t>
      </w:r>
    </w:p>
    <w:p w:rsidR="00283ABD" w:rsidRPr="00283ABD" w:rsidRDefault="00283ABD" w:rsidP="00283ABD">
      <w:pPr>
        <w:spacing w:before="120" w:after="120" w:line="240" w:lineRule="auto"/>
        <w:ind w:left="284"/>
        <w:jc w:val="both"/>
        <w:rPr>
          <w:rFonts w:cs="Times New Roman"/>
        </w:rPr>
      </w:pPr>
      <w:r w:rsidRPr="00283ABD">
        <w:rPr>
          <w:rFonts w:cs="Times New Roman"/>
        </w:rPr>
        <w:lastRenderedPageBreak/>
        <w:t>PN-EN 50131-2-2 - Systemy alarmowe - Systemy sygnalizacji w</w:t>
      </w:r>
      <w:r w:rsidRPr="00C10232">
        <w:rPr>
          <w:rFonts w:cs="Times New Roman"/>
        </w:rPr>
        <w:t>ł</w:t>
      </w:r>
      <w:r w:rsidRPr="00283ABD">
        <w:rPr>
          <w:rFonts w:cs="Times New Roman"/>
        </w:rPr>
        <w:t>amania i napadu - Część 2-2: Czujki włamania - Pasywne czujki podczerwieni</w:t>
      </w:r>
      <w:r w:rsidR="00C10232" w:rsidRPr="00C10232">
        <w:rPr>
          <w:rFonts w:cs="Times New Roman"/>
        </w:rPr>
        <w:t>.</w:t>
      </w:r>
    </w:p>
    <w:p w:rsidR="00283ABD" w:rsidRPr="00283ABD" w:rsidRDefault="00283ABD" w:rsidP="00283ABD">
      <w:pPr>
        <w:spacing w:before="120" w:after="120" w:line="240" w:lineRule="auto"/>
        <w:ind w:left="284"/>
        <w:jc w:val="both"/>
        <w:rPr>
          <w:rFonts w:cs="Times New Roman"/>
        </w:rPr>
      </w:pPr>
      <w:r w:rsidRPr="00283ABD">
        <w:rPr>
          <w:rFonts w:cs="Times New Roman"/>
        </w:rPr>
        <w:t>PN-EN 50131-2-3 - Systemy alarmowe - Systemy sygnalizacji w</w:t>
      </w:r>
      <w:r w:rsidRPr="00C10232">
        <w:rPr>
          <w:rFonts w:cs="Times New Roman"/>
        </w:rPr>
        <w:t>ł</w:t>
      </w:r>
      <w:r w:rsidRPr="00283ABD">
        <w:rPr>
          <w:rFonts w:cs="Times New Roman"/>
        </w:rPr>
        <w:t>amania i napadu - Część 2-3: Wymagania dotyczące czujek mikrofalowych</w:t>
      </w:r>
      <w:r w:rsidR="00C10232" w:rsidRPr="00C10232">
        <w:rPr>
          <w:rFonts w:cs="Times New Roman"/>
        </w:rPr>
        <w:t>.</w:t>
      </w:r>
    </w:p>
    <w:p w:rsidR="00283ABD" w:rsidRPr="00283ABD" w:rsidRDefault="00283ABD" w:rsidP="00283ABD">
      <w:pPr>
        <w:spacing w:before="120" w:after="120" w:line="240" w:lineRule="auto"/>
        <w:ind w:left="284"/>
        <w:jc w:val="both"/>
        <w:rPr>
          <w:rFonts w:cs="Times New Roman"/>
        </w:rPr>
      </w:pPr>
      <w:r w:rsidRPr="00283ABD">
        <w:rPr>
          <w:rFonts w:cs="Times New Roman"/>
        </w:rPr>
        <w:t>PN-EN 50131-2-4 - Systemy alarmowe - Systemy sygnalizacji w</w:t>
      </w:r>
      <w:r w:rsidRPr="00C10232">
        <w:rPr>
          <w:rFonts w:cs="Times New Roman"/>
        </w:rPr>
        <w:t>ł</w:t>
      </w:r>
      <w:r w:rsidRPr="00283ABD">
        <w:rPr>
          <w:rFonts w:cs="Times New Roman"/>
        </w:rPr>
        <w:t>amania i napadu - Część 2-4: Wymagania dotyczące dualnych czujek pasywnych podczerwieni i mikrofalowych</w:t>
      </w:r>
      <w:r w:rsidR="00C10232" w:rsidRPr="00C10232">
        <w:rPr>
          <w:rFonts w:cs="Times New Roman"/>
        </w:rPr>
        <w:t>.</w:t>
      </w:r>
    </w:p>
    <w:p w:rsidR="00283ABD" w:rsidRPr="00283ABD" w:rsidRDefault="00283ABD" w:rsidP="00283ABD">
      <w:pPr>
        <w:spacing w:before="120" w:after="120" w:line="240" w:lineRule="auto"/>
        <w:ind w:left="284"/>
        <w:jc w:val="both"/>
        <w:rPr>
          <w:rFonts w:cs="Times New Roman"/>
        </w:rPr>
      </w:pPr>
      <w:r w:rsidRPr="00283ABD">
        <w:rPr>
          <w:rFonts w:cs="Times New Roman"/>
        </w:rPr>
        <w:t>PN-EN 50131-2-5 - Systemy alarmowe - Systemy sygnalizacji włamania i napadu - Część 2-5: Wymagania dotyczące dualnych czujek pasywnych podczerwieni i ultradźwiękowych</w:t>
      </w:r>
      <w:r w:rsidR="00C10232" w:rsidRPr="00C10232">
        <w:rPr>
          <w:rFonts w:cs="Times New Roman"/>
        </w:rPr>
        <w:t>.</w:t>
      </w:r>
    </w:p>
    <w:p w:rsidR="00283ABD" w:rsidRPr="00283ABD" w:rsidRDefault="00283ABD" w:rsidP="00283ABD">
      <w:pPr>
        <w:spacing w:before="120" w:after="120" w:line="240" w:lineRule="auto"/>
        <w:ind w:left="284"/>
        <w:jc w:val="both"/>
        <w:rPr>
          <w:rFonts w:cs="Times New Roman"/>
        </w:rPr>
      </w:pPr>
      <w:r w:rsidRPr="00283ABD">
        <w:rPr>
          <w:rFonts w:cs="Times New Roman"/>
        </w:rPr>
        <w:t>PN-EN 50131-2-6 - Systemy alarmowe - Systemy sygnalizacji w</w:t>
      </w:r>
      <w:r w:rsidRPr="00C10232">
        <w:rPr>
          <w:rFonts w:cs="Times New Roman"/>
        </w:rPr>
        <w:t>ł</w:t>
      </w:r>
      <w:r w:rsidRPr="00283ABD">
        <w:rPr>
          <w:rFonts w:cs="Times New Roman"/>
        </w:rPr>
        <w:t>amania i napadu - Część 2-6: Czujki stykowe (magnetyczne).</w:t>
      </w:r>
    </w:p>
    <w:p w:rsidR="00283ABD" w:rsidRPr="00283ABD" w:rsidRDefault="00283ABD" w:rsidP="00283ABD">
      <w:pPr>
        <w:spacing w:before="120" w:after="120" w:line="240" w:lineRule="auto"/>
        <w:ind w:left="284"/>
        <w:jc w:val="both"/>
        <w:rPr>
          <w:rFonts w:cs="Times New Roman"/>
        </w:rPr>
      </w:pPr>
      <w:r w:rsidRPr="00283ABD">
        <w:rPr>
          <w:rFonts w:cs="Times New Roman"/>
        </w:rPr>
        <w:t>PN-EN 50131-5-3 - Systemy alarmowe - Systemy sygnalizacji w</w:t>
      </w:r>
      <w:r w:rsidRPr="00C10232">
        <w:rPr>
          <w:rFonts w:cs="Times New Roman"/>
        </w:rPr>
        <w:t>ł</w:t>
      </w:r>
      <w:r w:rsidRPr="00283ABD">
        <w:rPr>
          <w:rFonts w:cs="Times New Roman"/>
        </w:rPr>
        <w:t>amania - Część 5-3: Wymagania dotyczące połączeń wewnętrznych sprzętu wykorzystującego techniki częstotliwości radiowych. PN-EN 50131-6 - Systemy alarmowe - Systemy sygnalizacji w</w:t>
      </w:r>
      <w:r w:rsidRPr="00C10232">
        <w:rPr>
          <w:rFonts w:cs="Times New Roman"/>
        </w:rPr>
        <w:t>ł</w:t>
      </w:r>
      <w:r w:rsidRPr="00283ABD">
        <w:rPr>
          <w:rFonts w:cs="Times New Roman"/>
        </w:rPr>
        <w:t>amania i napadu - Część 6: Zasilacze PN-CLC/TS 50131-7 - Systemy alarmowe - Systemy sygnalizacji włamania - Część 7: Zasady stosowania.</w:t>
      </w:r>
    </w:p>
    <w:p w:rsidR="00283ABD" w:rsidRPr="00283ABD" w:rsidRDefault="00283ABD" w:rsidP="00283ABD">
      <w:pPr>
        <w:spacing w:before="120" w:after="120" w:line="240" w:lineRule="auto"/>
        <w:jc w:val="both"/>
        <w:rPr>
          <w:rFonts w:cs="Times New Roman"/>
        </w:rPr>
      </w:pPr>
      <w:r w:rsidRPr="00283ABD">
        <w:rPr>
          <w:rFonts w:cs="Times New Roman"/>
        </w:rPr>
        <w:t>Systemy kontroli dostępu stosowane w zabezpieczeniach</w:t>
      </w:r>
    </w:p>
    <w:p w:rsidR="00283ABD" w:rsidRPr="00283ABD" w:rsidRDefault="00283ABD" w:rsidP="00283ABD">
      <w:pPr>
        <w:spacing w:before="120" w:after="120" w:line="240" w:lineRule="auto"/>
        <w:ind w:left="284"/>
        <w:jc w:val="both"/>
        <w:rPr>
          <w:rFonts w:cs="Times New Roman"/>
        </w:rPr>
      </w:pPr>
      <w:r w:rsidRPr="00283ABD">
        <w:rPr>
          <w:rFonts w:cs="Times New Roman"/>
        </w:rPr>
        <w:t>PN-EN 50133-1 - Systemy alarmowe - Systemy kontroli dostępu w zastosowaniach dotyczących zabezpieczenia - Część 1: Wymagania systemowe.</w:t>
      </w:r>
    </w:p>
    <w:p w:rsidR="00283ABD" w:rsidRPr="00283ABD" w:rsidRDefault="00283ABD" w:rsidP="00283ABD">
      <w:pPr>
        <w:spacing w:before="120" w:after="120" w:line="240" w:lineRule="auto"/>
        <w:ind w:left="284"/>
        <w:jc w:val="both"/>
        <w:rPr>
          <w:rFonts w:cs="Times New Roman"/>
        </w:rPr>
      </w:pPr>
      <w:r w:rsidRPr="00283ABD">
        <w:rPr>
          <w:rFonts w:cs="Times New Roman"/>
        </w:rPr>
        <w:t>PN-EN 50133-2-1 - Systemy alarmowe - Systemy kontroli dostępu w zastosowaniach dotyczących zabezpieczenia - Część 2-1: Wymagania dla podzespołów.</w:t>
      </w:r>
    </w:p>
    <w:p w:rsidR="00283ABD" w:rsidRPr="00283ABD" w:rsidRDefault="00283ABD" w:rsidP="00283ABD">
      <w:pPr>
        <w:spacing w:before="120" w:after="120" w:line="240" w:lineRule="auto"/>
        <w:ind w:left="284"/>
        <w:jc w:val="both"/>
        <w:rPr>
          <w:rFonts w:cs="Times New Roman"/>
        </w:rPr>
      </w:pPr>
      <w:r w:rsidRPr="00283ABD">
        <w:rPr>
          <w:rFonts w:cs="Times New Roman"/>
        </w:rPr>
        <w:t>PN-EN 50133-7 - Systemy alarmowe - Systemy kontroli dostępu w zastosowaniach dotyczących zabezpieczenia - Część 7: Zasady stosow</w:t>
      </w:r>
      <w:r w:rsidRPr="00C10232">
        <w:rPr>
          <w:rFonts w:cs="Times New Roman"/>
        </w:rPr>
        <w:t>a</w:t>
      </w:r>
      <w:r w:rsidRPr="00283ABD">
        <w:rPr>
          <w:rFonts w:cs="Times New Roman"/>
        </w:rPr>
        <w:t>nia. Urządzenia i systemy transmisji alarmu</w:t>
      </w:r>
    </w:p>
    <w:p w:rsidR="00283ABD" w:rsidRPr="00283ABD" w:rsidRDefault="00283ABD" w:rsidP="00283ABD">
      <w:pPr>
        <w:spacing w:before="120" w:after="120" w:line="240" w:lineRule="auto"/>
        <w:ind w:left="284"/>
        <w:jc w:val="both"/>
        <w:rPr>
          <w:rFonts w:cs="Times New Roman"/>
        </w:rPr>
      </w:pPr>
      <w:r w:rsidRPr="00283ABD">
        <w:rPr>
          <w:rFonts w:cs="Times New Roman"/>
        </w:rPr>
        <w:t>PN-EN 50136-1:2012 Systemy alarmowe - Systemy i urządzenia transmisji alarmu - Część 1: Wymagania ogólne dotyczące systemów transmisji alarmu</w:t>
      </w:r>
    </w:p>
    <w:p w:rsidR="00283ABD" w:rsidRPr="00283ABD" w:rsidRDefault="00283ABD" w:rsidP="00283ABD">
      <w:pPr>
        <w:spacing w:before="120" w:after="120" w:line="240" w:lineRule="auto"/>
        <w:ind w:left="284"/>
        <w:jc w:val="both"/>
        <w:rPr>
          <w:rFonts w:cs="Times New Roman"/>
        </w:rPr>
      </w:pPr>
      <w:r w:rsidRPr="00283ABD">
        <w:rPr>
          <w:rFonts w:cs="Times New Roman"/>
        </w:rPr>
        <w:t>PN-EN 50136-2:2014-05 - Systemy alarmowe - Systemy i urządzenia transmisji alarmu - Część 2: Wymagania dotyczące nadajnika-odbiornika miejsca chronionego (SPT)</w:t>
      </w:r>
    </w:p>
    <w:p w:rsidR="00283ABD" w:rsidRPr="00283ABD" w:rsidRDefault="00283ABD" w:rsidP="00283ABD">
      <w:pPr>
        <w:spacing w:before="120" w:after="120" w:line="240" w:lineRule="auto"/>
        <w:ind w:left="284"/>
        <w:jc w:val="both"/>
        <w:rPr>
          <w:rFonts w:cs="Times New Roman"/>
        </w:rPr>
      </w:pPr>
      <w:r w:rsidRPr="00283ABD">
        <w:rPr>
          <w:rFonts w:cs="Times New Roman"/>
        </w:rPr>
        <w:t>PN-EN 50136-3:2014-05 Systemy alarmowe - Systemy i urządzenia transmisji alarmu - Część 3: Wymagania dotyczące nadajnika-odbiornika centrum odbiorczego (RCT)</w:t>
      </w:r>
    </w:p>
    <w:p w:rsidR="00283ABD" w:rsidRPr="00364F1A" w:rsidRDefault="00283ABD" w:rsidP="00283ABD">
      <w:pPr>
        <w:spacing w:before="120" w:after="120" w:line="240" w:lineRule="auto"/>
        <w:ind w:left="284"/>
        <w:jc w:val="both"/>
        <w:rPr>
          <w:rFonts w:cs="Times New Roman"/>
          <w:lang w:val="en-US"/>
        </w:rPr>
      </w:pPr>
      <w:r w:rsidRPr="00364F1A">
        <w:rPr>
          <w:rFonts w:cs="Times New Roman"/>
          <w:lang w:val="en-US"/>
        </w:rPr>
        <w:t xml:space="preserve">CEI CLC/TS 50398 Ed. 2 (2013) Alarm Systems - Combined And Integrated Alarm Systems - General </w:t>
      </w:r>
      <w:proofErr w:type="spellStart"/>
      <w:r w:rsidRPr="00364F1A">
        <w:rPr>
          <w:rFonts w:cs="Times New Roman"/>
          <w:lang w:val="en-US"/>
        </w:rPr>
        <w:t>Reąuirements</w:t>
      </w:r>
      <w:proofErr w:type="spellEnd"/>
    </w:p>
    <w:p w:rsidR="00283ABD" w:rsidRPr="00283ABD" w:rsidRDefault="00283ABD" w:rsidP="00283ABD">
      <w:pPr>
        <w:spacing w:before="120" w:after="120" w:line="240" w:lineRule="auto"/>
        <w:ind w:left="284"/>
        <w:jc w:val="both"/>
        <w:rPr>
          <w:rFonts w:cs="Times New Roman"/>
        </w:rPr>
      </w:pPr>
      <w:r w:rsidRPr="00283ABD">
        <w:rPr>
          <w:rFonts w:cs="Times New Roman"/>
        </w:rPr>
        <w:t>PN-EN 50518-1 - Centrum monitoringu i odbioru alarmu. Wymagania dot. konstrukcji i</w:t>
      </w:r>
    </w:p>
    <w:p w:rsidR="00283ABD" w:rsidRPr="00283ABD" w:rsidRDefault="00283ABD" w:rsidP="00283ABD">
      <w:pPr>
        <w:spacing w:before="120" w:after="120" w:line="240" w:lineRule="auto"/>
        <w:ind w:left="284"/>
        <w:jc w:val="both"/>
        <w:rPr>
          <w:rFonts w:cs="Times New Roman"/>
        </w:rPr>
      </w:pPr>
      <w:r w:rsidRPr="00283ABD">
        <w:rPr>
          <w:rFonts w:cs="Times New Roman"/>
        </w:rPr>
        <w:t>umiejscowienia.</w:t>
      </w:r>
    </w:p>
    <w:p w:rsidR="00283ABD" w:rsidRPr="00283ABD" w:rsidRDefault="00283ABD" w:rsidP="00283ABD">
      <w:pPr>
        <w:spacing w:before="120" w:after="120" w:line="240" w:lineRule="auto"/>
        <w:jc w:val="both"/>
        <w:rPr>
          <w:rFonts w:cs="Times New Roman"/>
        </w:rPr>
      </w:pPr>
      <w:r w:rsidRPr="00283ABD">
        <w:rPr>
          <w:rFonts w:cs="Times New Roman"/>
        </w:rPr>
        <w:t>Zintegrowane systemy alarmowe</w:t>
      </w:r>
    </w:p>
    <w:p w:rsidR="00283ABD" w:rsidRPr="00283ABD" w:rsidRDefault="00283ABD" w:rsidP="00C10232">
      <w:pPr>
        <w:spacing w:before="120" w:after="120" w:line="240" w:lineRule="auto"/>
        <w:ind w:left="142"/>
        <w:jc w:val="both"/>
        <w:rPr>
          <w:rFonts w:cs="Times New Roman"/>
        </w:rPr>
      </w:pPr>
      <w:r w:rsidRPr="00283ABD">
        <w:rPr>
          <w:rFonts w:cs="Times New Roman"/>
        </w:rPr>
        <w:t xml:space="preserve">CLC/TS 50398:2009 Systemy alarmowe - Systemy zintegrowane - Wymagania ogólne (Alarm </w:t>
      </w:r>
      <w:proofErr w:type="spellStart"/>
      <w:r w:rsidRPr="00283ABD">
        <w:rPr>
          <w:rFonts w:cs="Times New Roman"/>
        </w:rPr>
        <w:t>systems</w:t>
      </w:r>
      <w:proofErr w:type="spellEnd"/>
      <w:r w:rsidRPr="00283ABD">
        <w:rPr>
          <w:rFonts w:cs="Times New Roman"/>
        </w:rPr>
        <w:t xml:space="preserve">. </w:t>
      </w:r>
      <w:proofErr w:type="spellStart"/>
      <w:r w:rsidRPr="00283ABD">
        <w:rPr>
          <w:rFonts w:cs="Times New Roman"/>
        </w:rPr>
        <w:t>Combined</w:t>
      </w:r>
      <w:proofErr w:type="spellEnd"/>
      <w:r w:rsidRPr="00283ABD">
        <w:rPr>
          <w:rFonts w:cs="Times New Roman"/>
        </w:rPr>
        <w:t xml:space="preserve"> and </w:t>
      </w:r>
      <w:proofErr w:type="spellStart"/>
      <w:r w:rsidRPr="00283ABD">
        <w:rPr>
          <w:rFonts w:cs="Times New Roman"/>
        </w:rPr>
        <w:t>integrated</w:t>
      </w:r>
      <w:proofErr w:type="spellEnd"/>
      <w:r w:rsidRPr="00283ABD">
        <w:rPr>
          <w:rFonts w:cs="Times New Roman"/>
        </w:rPr>
        <w:t xml:space="preserve"> Systems. General </w:t>
      </w:r>
      <w:proofErr w:type="spellStart"/>
      <w:r w:rsidRPr="00283ABD">
        <w:rPr>
          <w:rFonts w:cs="Times New Roman"/>
        </w:rPr>
        <w:t>reąuirements</w:t>
      </w:r>
      <w:proofErr w:type="spellEnd"/>
      <w:r w:rsidRPr="00283ABD">
        <w:rPr>
          <w:rFonts w:cs="Times New Roman"/>
        </w:rPr>
        <w:t>)</w:t>
      </w:r>
    </w:p>
    <w:p w:rsidR="00283ABD" w:rsidRPr="00283ABD" w:rsidRDefault="00283ABD" w:rsidP="00C10232">
      <w:pPr>
        <w:spacing w:before="120" w:after="120" w:line="240" w:lineRule="auto"/>
        <w:jc w:val="both"/>
        <w:rPr>
          <w:rFonts w:cs="Times New Roman"/>
        </w:rPr>
      </w:pPr>
      <w:r w:rsidRPr="00283ABD">
        <w:rPr>
          <w:rFonts w:cs="Times New Roman"/>
        </w:rPr>
        <w:t>Technika informatyczna</w:t>
      </w:r>
    </w:p>
    <w:p w:rsidR="00283ABD" w:rsidRPr="00283ABD" w:rsidRDefault="00283ABD" w:rsidP="00C10232">
      <w:pPr>
        <w:spacing w:before="120" w:after="120" w:line="240" w:lineRule="auto"/>
        <w:ind w:left="142"/>
        <w:jc w:val="both"/>
        <w:rPr>
          <w:rFonts w:cs="Times New Roman"/>
        </w:rPr>
      </w:pPr>
      <w:r w:rsidRPr="00283ABD">
        <w:rPr>
          <w:rFonts w:cs="Times New Roman"/>
        </w:rPr>
        <w:t>PN-ISO/IEC 27001:2014-12 - Technika informatyczna - Techniki bezpieczeństwa - Systemy zarządzania bezpieczeństwem informacji - Wymagania.</w:t>
      </w:r>
    </w:p>
    <w:p w:rsidR="00407A10" w:rsidRPr="00407A10" w:rsidRDefault="00407A10" w:rsidP="00407A10">
      <w:pPr>
        <w:spacing w:before="120" w:after="120" w:line="240" w:lineRule="auto"/>
        <w:jc w:val="both"/>
        <w:rPr>
          <w:rFonts w:cs="Times New Roman"/>
        </w:rPr>
      </w:pPr>
      <w:r w:rsidRPr="00407A10">
        <w:rPr>
          <w:rFonts w:cs="Times New Roman"/>
        </w:rPr>
        <w:t>System sygnalizacji pożaru SAP</w:t>
      </w:r>
    </w:p>
    <w:p w:rsidR="00407A10" w:rsidRPr="00407A10" w:rsidRDefault="00407A10" w:rsidP="00407A10">
      <w:pPr>
        <w:spacing w:before="120" w:after="120" w:line="240" w:lineRule="auto"/>
        <w:jc w:val="both"/>
        <w:rPr>
          <w:rFonts w:cs="Times New Roman"/>
        </w:rPr>
      </w:pPr>
      <w:r w:rsidRPr="00407A10">
        <w:rPr>
          <w:rFonts w:cs="Times New Roman"/>
        </w:rPr>
        <w:t xml:space="preserve">Rozporządzenie Ministra Spraw Wewnętrznych i Administracji z dnia 27 kwietnia 2010 r. w  sprawie wykazu wyrobów  służących zapewnieniu bezpieczeństwa publicznego lub ochronie zdrowia i życia </w:t>
      </w:r>
      <w:r w:rsidRPr="00407A10">
        <w:rPr>
          <w:rFonts w:cs="Times New Roman"/>
        </w:rPr>
        <w:lastRenderedPageBreak/>
        <w:t xml:space="preserve">oraz mienia, a także zasad wydawania   dopuszczenia tych wyrobów do użytkowania (Dz. U. Nr 143, poz. 1002 z </w:t>
      </w:r>
      <w:proofErr w:type="spellStart"/>
      <w:r w:rsidRPr="00407A10">
        <w:rPr>
          <w:rFonts w:cs="Times New Roman"/>
        </w:rPr>
        <w:t>późn</w:t>
      </w:r>
      <w:proofErr w:type="spellEnd"/>
      <w:r w:rsidRPr="00407A10">
        <w:rPr>
          <w:rFonts w:cs="Times New Roman"/>
        </w:rPr>
        <w:t>. zm.)</w:t>
      </w:r>
    </w:p>
    <w:p w:rsidR="00407A10" w:rsidRPr="00407A10" w:rsidRDefault="00407A10" w:rsidP="00407A10">
      <w:pPr>
        <w:spacing w:before="120" w:after="120" w:line="240" w:lineRule="auto"/>
        <w:jc w:val="both"/>
        <w:rPr>
          <w:rFonts w:cs="Times New Roman"/>
        </w:rPr>
      </w:pPr>
      <w:r w:rsidRPr="00407A10">
        <w:rPr>
          <w:rFonts w:cs="Times New Roman"/>
        </w:rPr>
        <w:t xml:space="preserve"> Specyfikacja techniczna PKN-CEN/TS 54-14:2006 Systemy sygnalizacji pożarowej. </w:t>
      </w:r>
    </w:p>
    <w:p w:rsidR="00B72290" w:rsidRDefault="00407A10" w:rsidP="00407A10">
      <w:pPr>
        <w:spacing w:before="120" w:after="120" w:line="240" w:lineRule="auto"/>
        <w:jc w:val="both"/>
        <w:rPr>
          <w:rFonts w:cs="Times New Roman"/>
        </w:rPr>
      </w:pPr>
      <w:r w:rsidRPr="00407A10">
        <w:rPr>
          <w:rFonts w:cs="Times New Roman"/>
        </w:rPr>
        <w:t xml:space="preserve"> Wytyczne projektowania Instalacji Sygnalizacji Pożarowej SITP WP – 02:2010.</w:t>
      </w:r>
    </w:p>
    <w:p w:rsidR="00407A10" w:rsidRDefault="00407A10" w:rsidP="00407A10">
      <w:pPr>
        <w:spacing w:before="120" w:after="120" w:line="240" w:lineRule="auto"/>
        <w:jc w:val="both"/>
        <w:rPr>
          <w:rFonts w:cs="Times New Roman"/>
        </w:rPr>
      </w:pPr>
    </w:p>
    <w:p w:rsidR="00283ABD" w:rsidRPr="00283ABD" w:rsidRDefault="00283ABD" w:rsidP="00283ABD">
      <w:pPr>
        <w:spacing w:before="120" w:after="120" w:line="240" w:lineRule="auto"/>
        <w:jc w:val="both"/>
        <w:rPr>
          <w:rFonts w:cs="Times New Roman"/>
        </w:rPr>
      </w:pPr>
      <w:r w:rsidRPr="00283ABD">
        <w:rPr>
          <w:rFonts w:cs="Times New Roman"/>
        </w:rPr>
        <w:t>Pozostałe normy</w:t>
      </w:r>
    </w:p>
    <w:p w:rsidR="00283ABD" w:rsidRPr="00283ABD" w:rsidRDefault="00283ABD" w:rsidP="00143676">
      <w:pPr>
        <w:spacing w:before="120" w:after="120" w:line="240" w:lineRule="auto"/>
        <w:ind w:left="284"/>
        <w:jc w:val="both"/>
        <w:rPr>
          <w:rFonts w:cs="Times New Roman"/>
        </w:rPr>
      </w:pPr>
      <w:r w:rsidRPr="00283ABD">
        <w:rPr>
          <w:rFonts w:cs="Times New Roman"/>
        </w:rPr>
        <w:t>PN-IEC 61312-1 - Ochrona przed piorunowym impulsem elektromagnetycznym - Zasady ogólne. PN-EN 61663-2 - Ochrona odgromowa - Linie telekomunikacyjne - Część 2: Linie wykonane przewodami metalowymi.</w:t>
      </w:r>
    </w:p>
    <w:p w:rsidR="00283ABD" w:rsidRDefault="00283ABD" w:rsidP="00143676">
      <w:pPr>
        <w:spacing w:before="120" w:after="120" w:line="240" w:lineRule="auto"/>
        <w:ind w:left="284"/>
        <w:jc w:val="both"/>
        <w:rPr>
          <w:rFonts w:cs="Times New Roman"/>
        </w:rPr>
      </w:pPr>
      <w:r w:rsidRPr="00283ABD">
        <w:rPr>
          <w:rFonts w:cs="Times New Roman"/>
        </w:rPr>
        <w:t>PN-EN ISO 7010:2012 - Symbole graficzne - Barwy bezpieczeństwa i znaki bezpieczeństwa - Zarejestrowane znaki bezpieczeństwa.</w:t>
      </w:r>
    </w:p>
    <w:p w:rsidR="00B8027F" w:rsidRDefault="00B8027F" w:rsidP="00B8027F">
      <w:pPr>
        <w:widowControl w:val="0"/>
        <w:spacing w:before="120" w:after="0" w:line="240" w:lineRule="auto"/>
        <w:jc w:val="both"/>
        <w:rPr>
          <w:rFonts w:ascii="Times New Roman" w:eastAsia="Times New Roman" w:hAnsi="Times New Roman" w:cs="Times New Roman"/>
        </w:rPr>
      </w:pPr>
    </w:p>
    <w:p w:rsidR="00AB0977" w:rsidRDefault="00AB0977" w:rsidP="00407A10">
      <w:pPr>
        <w:jc w:val="both"/>
      </w:pPr>
      <w:bookmarkStart w:id="0" w:name="_GoBack"/>
      <w:bookmarkEnd w:id="0"/>
    </w:p>
    <w:sectPr w:rsidR="00AB0977" w:rsidSect="001F3E9D">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1D6F" w:rsidRDefault="00F61D6F" w:rsidP="00F61D6F">
      <w:pPr>
        <w:spacing w:after="0" w:line="240" w:lineRule="auto"/>
      </w:pPr>
      <w:r>
        <w:separator/>
      </w:r>
    </w:p>
  </w:endnote>
  <w:endnote w:type="continuationSeparator" w:id="0">
    <w:p w:rsidR="00F61D6F" w:rsidRDefault="00F61D6F" w:rsidP="00F61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7105147"/>
      <w:docPartObj>
        <w:docPartGallery w:val="Page Numbers (Bottom of Page)"/>
        <w:docPartUnique/>
      </w:docPartObj>
    </w:sdtPr>
    <w:sdtEndPr/>
    <w:sdtContent>
      <w:p w:rsidR="00F61D6F" w:rsidRDefault="00F61D6F">
        <w:pPr>
          <w:pStyle w:val="Stopka"/>
          <w:jc w:val="right"/>
        </w:pPr>
        <w:r>
          <w:fldChar w:fldCharType="begin"/>
        </w:r>
        <w:r>
          <w:instrText>PAGE   \* MERGEFORMAT</w:instrText>
        </w:r>
        <w:r>
          <w:fldChar w:fldCharType="separate"/>
        </w:r>
        <w:r w:rsidR="00EE1F60">
          <w:rPr>
            <w:noProof/>
          </w:rPr>
          <w:t>1</w:t>
        </w:r>
        <w:r>
          <w:fldChar w:fldCharType="end"/>
        </w:r>
      </w:p>
    </w:sdtContent>
  </w:sdt>
  <w:p w:rsidR="00F61D6F" w:rsidRDefault="00F61D6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1D6F" w:rsidRDefault="00F61D6F" w:rsidP="00F61D6F">
      <w:pPr>
        <w:spacing w:after="0" w:line="240" w:lineRule="auto"/>
      </w:pPr>
      <w:r>
        <w:separator/>
      </w:r>
    </w:p>
  </w:footnote>
  <w:footnote w:type="continuationSeparator" w:id="0">
    <w:p w:rsidR="00F61D6F" w:rsidRDefault="00F61D6F" w:rsidP="00F61D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823880"/>
    <w:multiLevelType w:val="multilevel"/>
    <w:tmpl w:val="BF62BA36"/>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4C73172F"/>
    <w:multiLevelType w:val="multilevel"/>
    <w:tmpl w:val="B512210A"/>
    <w:lvl w:ilvl="0">
      <w:start w:val="1"/>
      <w:numFmt w:val="decimal"/>
      <w:lvlText w:val="%1."/>
      <w:lvlJc w:val="left"/>
      <w:rPr>
        <w:rFonts w:ascii="Georgia" w:eastAsia="Times New Roman" w:hAnsi="Georgia"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7731D42"/>
    <w:multiLevelType w:val="multilevel"/>
    <w:tmpl w:val="BF62BA36"/>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61B47B20"/>
    <w:multiLevelType w:val="multilevel"/>
    <w:tmpl w:val="BF62BA36"/>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63F90430"/>
    <w:multiLevelType w:val="multilevel"/>
    <w:tmpl w:val="BF62BA36"/>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6CCE5BB0"/>
    <w:multiLevelType w:val="hybridMultilevel"/>
    <w:tmpl w:val="6172EB5A"/>
    <w:lvl w:ilvl="0" w:tplc="2048F50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73986787"/>
    <w:multiLevelType w:val="hybridMultilevel"/>
    <w:tmpl w:val="AB58D4CE"/>
    <w:lvl w:ilvl="0" w:tplc="1CBA7876">
      <w:start w:val="1"/>
      <w:numFmt w:val="decimal"/>
      <w:lvlText w:val="%1."/>
      <w:lvlJc w:val="left"/>
      <w:pPr>
        <w:ind w:left="708" w:hanging="708"/>
      </w:pPr>
      <w:rPr>
        <w:rFonts w:hint="default"/>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2"/>
  </w:num>
  <w:num w:numId="3">
    <w:abstractNumId w:val="4"/>
  </w:num>
  <w:num w:numId="4">
    <w:abstractNumId w:val="3"/>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977"/>
    <w:rsid w:val="000045B2"/>
    <w:rsid w:val="00006814"/>
    <w:rsid w:val="00011D17"/>
    <w:rsid w:val="00014813"/>
    <w:rsid w:val="0001665C"/>
    <w:rsid w:val="000208E3"/>
    <w:rsid w:val="00023D18"/>
    <w:rsid w:val="00027E23"/>
    <w:rsid w:val="00027EC0"/>
    <w:rsid w:val="0003303F"/>
    <w:rsid w:val="000422AE"/>
    <w:rsid w:val="00043553"/>
    <w:rsid w:val="0005065C"/>
    <w:rsid w:val="000653B9"/>
    <w:rsid w:val="00067D8F"/>
    <w:rsid w:val="00070C8B"/>
    <w:rsid w:val="00081BB5"/>
    <w:rsid w:val="00082856"/>
    <w:rsid w:val="00083C9F"/>
    <w:rsid w:val="00084182"/>
    <w:rsid w:val="00084480"/>
    <w:rsid w:val="00084E98"/>
    <w:rsid w:val="00095095"/>
    <w:rsid w:val="000A67A9"/>
    <w:rsid w:val="000B1523"/>
    <w:rsid w:val="000B4997"/>
    <w:rsid w:val="000B5E26"/>
    <w:rsid w:val="000B736B"/>
    <w:rsid w:val="000B7FB6"/>
    <w:rsid w:val="000C00D8"/>
    <w:rsid w:val="000C316B"/>
    <w:rsid w:val="000C6185"/>
    <w:rsid w:val="000C6286"/>
    <w:rsid w:val="000D4CDE"/>
    <w:rsid w:val="000D5C5D"/>
    <w:rsid w:val="000D7148"/>
    <w:rsid w:val="000D7B94"/>
    <w:rsid w:val="000E4AA5"/>
    <w:rsid w:val="000E66EC"/>
    <w:rsid w:val="000E694C"/>
    <w:rsid w:val="000E69FB"/>
    <w:rsid w:val="000F1E43"/>
    <w:rsid w:val="000F4370"/>
    <w:rsid w:val="000F4620"/>
    <w:rsid w:val="00103B0E"/>
    <w:rsid w:val="00114D3F"/>
    <w:rsid w:val="0011547D"/>
    <w:rsid w:val="0011607E"/>
    <w:rsid w:val="00117112"/>
    <w:rsid w:val="00127F74"/>
    <w:rsid w:val="0013064A"/>
    <w:rsid w:val="001308AE"/>
    <w:rsid w:val="00142A5A"/>
    <w:rsid w:val="00143676"/>
    <w:rsid w:val="00146AC5"/>
    <w:rsid w:val="001567EC"/>
    <w:rsid w:val="0015701E"/>
    <w:rsid w:val="001629A9"/>
    <w:rsid w:val="00162CE9"/>
    <w:rsid w:val="00171181"/>
    <w:rsid w:val="001737E0"/>
    <w:rsid w:val="00176163"/>
    <w:rsid w:val="00177095"/>
    <w:rsid w:val="00181E55"/>
    <w:rsid w:val="0018791B"/>
    <w:rsid w:val="001956F2"/>
    <w:rsid w:val="00197076"/>
    <w:rsid w:val="001A48D6"/>
    <w:rsid w:val="001A7530"/>
    <w:rsid w:val="001B53AA"/>
    <w:rsid w:val="001B610A"/>
    <w:rsid w:val="001C1C36"/>
    <w:rsid w:val="001C31F5"/>
    <w:rsid w:val="001C40FA"/>
    <w:rsid w:val="001D56D9"/>
    <w:rsid w:val="001E0291"/>
    <w:rsid w:val="001E3619"/>
    <w:rsid w:val="001E5837"/>
    <w:rsid w:val="001F3E9D"/>
    <w:rsid w:val="001F4846"/>
    <w:rsid w:val="00200343"/>
    <w:rsid w:val="0021109C"/>
    <w:rsid w:val="0021794F"/>
    <w:rsid w:val="00217D2B"/>
    <w:rsid w:val="002236F4"/>
    <w:rsid w:val="00224A96"/>
    <w:rsid w:val="0024255B"/>
    <w:rsid w:val="002506BD"/>
    <w:rsid w:val="0025254A"/>
    <w:rsid w:val="00253B75"/>
    <w:rsid w:val="00255AFE"/>
    <w:rsid w:val="00261277"/>
    <w:rsid w:val="00261B82"/>
    <w:rsid w:val="00263273"/>
    <w:rsid w:val="00270967"/>
    <w:rsid w:val="00272E01"/>
    <w:rsid w:val="00275ED1"/>
    <w:rsid w:val="00276990"/>
    <w:rsid w:val="002814FC"/>
    <w:rsid w:val="00282509"/>
    <w:rsid w:val="00283A1C"/>
    <w:rsid w:val="00283ABD"/>
    <w:rsid w:val="00294B1B"/>
    <w:rsid w:val="002A0371"/>
    <w:rsid w:val="002A79E7"/>
    <w:rsid w:val="002B06DF"/>
    <w:rsid w:val="002B270D"/>
    <w:rsid w:val="002B4C06"/>
    <w:rsid w:val="002B5FD6"/>
    <w:rsid w:val="002C452E"/>
    <w:rsid w:val="002C5D47"/>
    <w:rsid w:val="002C6CD2"/>
    <w:rsid w:val="002D0C80"/>
    <w:rsid w:val="002D1EA2"/>
    <w:rsid w:val="002D5ECE"/>
    <w:rsid w:val="002E68C9"/>
    <w:rsid w:val="002F7E62"/>
    <w:rsid w:val="00302A80"/>
    <w:rsid w:val="0030366B"/>
    <w:rsid w:val="00306455"/>
    <w:rsid w:val="00310286"/>
    <w:rsid w:val="0031063D"/>
    <w:rsid w:val="00310A18"/>
    <w:rsid w:val="00327B4D"/>
    <w:rsid w:val="00327D2E"/>
    <w:rsid w:val="00335F85"/>
    <w:rsid w:val="00336362"/>
    <w:rsid w:val="0034206D"/>
    <w:rsid w:val="00343687"/>
    <w:rsid w:val="00343A86"/>
    <w:rsid w:val="0036100A"/>
    <w:rsid w:val="00362B47"/>
    <w:rsid w:val="00362B8C"/>
    <w:rsid w:val="00363A2E"/>
    <w:rsid w:val="00364F1A"/>
    <w:rsid w:val="003651D1"/>
    <w:rsid w:val="0037011A"/>
    <w:rsid w:val="00381FEF"/>
    <w:rsid w:val="0038646C"/>
    <w:rsid w:val="0039314E"/>
    <w:rsid w:val="0039498D"/>
    <w:rsid w:val="003A1F20"/>
    <w:rsid w:val="003A46FF"/>
    <w:rsid w:val="003A5E0E"/>
    <w:rsid w:val="003A715C"/>
    <w:rsid w:val="003B500B"/>
    <w:rsid w:val="003B6A6E"/>
    <w:rsid w:val="003D7681"/>
    <w:rsid w:val="003E710F"/>
    <w:rsid w:val="003F23F7"/>
    <w:rsid w:val="003F547A"/>
    <w:rsid w:val="00401C19"/>
    <w:rsid w:val="004051FA"/>
    <w:rsid w:val="00407A10"/>
    <w:rsid w:val="00412602"/>
    <w:rsid w:val="00415AB1"/>
    <w:rsid w:val="00424531"/>
    <w:rsid w:val="004248A3"/>
    <w:rsid w:val="0042544C"/>
    <w:rsid w:val="00436F9E"/>
    <w:rsid w:val="004375DB"/>
    <w:rsid w:val="0044326D"/>
    <w:rsid w:val="0044782C"/>
    <w:rsid w:val="00456621"/>
    <w:rsid w:val="00463DFC"/>
    <w:rsid w:val="004653FE"/>
    <w:rsid w:val="004669A1"/>
    <w:rsid w:val="00467A74"/>
    <w:rsid w:val="004750E9"/>
    <w:rsid w:val="00475359"/>
    <w:rsid w:val="00476B49"/>
    <w:rsid w:val="00481752"/>
    <w:rsid w:val="00483252"/>
    <w:rsid w:val="00483CB6"/>
    <w:rsid w:val="00483CCC"/>
    <w:rsid w:val="004848E3"/>
    <w:rsid w:val="00486B94"/>
    <w:rsid w:val="00487EC9"/>
    <w:rsid w:val="00496E75"/>
    <w:rsid w:val="004A212A"/>
    <w:rsid w:val="004B2ACF"/>
    <w:rsid w:val="004B3581"/>
    <w:rsid w:val="004B3C9E"/>
    <w:rsid w:val="004B615D"/>
    <w:rsid w:val="004C118B"/>
    <w:rsid w:val="004C2C3F"/>
    <w:rsid w:val="004D094E"/>
    <w:rsid w:val="004D1033"/>
    <w:rsid w:val="004F242D"/>
    <w:rsid w:val="004F2871"/>
    <w:rsid w:val="004F3025"/>
    <w:rsid w:val="00513C48"/>
    <w:rsid w:val="00525855"/>
    <w:rsid w:val="00534B85"/>
    <w:rsid w:val="00537C6B"/>
    <w:rsid w:val="00540F01"/>
    <w:rsid w:val="005534B6"/>
    <w:rsid w:val="00556010"/>
    <w:rsid w:val="00561EA6"/>
    <w:rsid w:val="00563F80"/>
    <w:rsid w:val="005677B0"/>
    <w:rsid w:val="005708EB"/>
    <w:rsid w:val="005723D9"/>
    <w:rsid w:val="00572D17"/>
    <w:rsid w:val="005750DB"/>
    <w:rsid w:val="005759CF"/>
    <w:rsid w:val="00581848"/>
    <w:rsid w:val="00585D76"/>
    <w:rsid w:val="00586C49"/>
    <w:rsid w:val="00591E05"/>
    <w:rsid w:val="0059536A"/>
    <w:rsid w:val="00597B1D"/>
    <w:rsid w:val="005A06DB"/>
    <w:rsid w:val="005A1E2E"/>
    <w:rsid w:val="005A6303"/>
    <w:rsid w:val="005B0190"/>
    <w:rsid w:val="005B17DD"/>
    <w:rsid w:val="005B7667"/>
    <w:rsid w:val="005C1CCF"/>
    <w:rsid w:val="005C44BF"/>
    <w:rsid w:val="005D2E3E"/>
    <w:rsid w:val="005D4947"/>
    <w:rsid w:val="005E149E"/>
    <w:rsid w:val="0060013E"/>
    <w:rsid w:val="00601CF9"/>
    <w:rsid w:val="006057F0"/>
    <w:rsid w:val="00610488"/>
    <w:rsid w:val="0061186C"/>
    <w:rsid w:val="00612AAD"/>
    <w:rsid w:val="00617DCA"/>
    <w:rsid w:val="00621E40"/>
    <w:rsid w:val="00622785"/>
    <w:rsid w:val="00623D6F"/>
    <w:rsid w:val="00630E75"/>
    <w:rsid w:val="00631AC0"/>
    <w:rsid w:val="0063529B"/>
    <w:rsid w:val="006363F2"/>
    <w:rsid w:val="0064023E"/>
    <w:rsid w:val="006446CC"/>
    <w:rsid w:val="0064488F"/>
    <w:rsid w:val="00646015"/>
    <w:rsid w:val="00647D46"/>
    <w:rsid w:val="00655555"/>
    <w:rsid w:val="0066004F"/>
    <w:rsid w:val="006629B4"/>
    <w:rsid w:val="00664DE4"/>
    <w:rsid w:val="006651E3"/>
    <w:rsid w:val="006658FB"/>
    <w:rsid w:val="00671FF5"/>
    <w:rsid w:val="0067331B"/>
    <w:rsid w:val="006810D2"/>
    <w:rsid w:val="00687761"/>
    <w:rsid w:val="006924E6"/>
    <w:rsid w:val="00696DF5"/>
    <w:rsid w:val="00697767"/>
    <w:rsid w:val="006A0372"/>
    <w:rsid w:val="006A560C"/>
    <w:rsid w:val="006A67CD"/>
    <w:rsid w:val="006B25FA"/>
    <w:rsid w:val="006B7351"/>
    <w:rsid w:val="006C0BE2"/>
    <w:rsid w:val="006C5F82"/>
    <w:rsid w:val="006D18DC"/>
    <w:rsid w:val="006D3611"/>
    <w:rsid w:val="006E20AA"/>
    <w:rsid w:val="006E39CF"/>
    <w:rsid w:val="006F7217"/>
    <w:rsid w:val="00703CC2"/>
    <w:rsid w:val="00707D3D"/>
    <w:rsid w:val="00710909"/>
    <w:rsid w:val="00710941"/>
    <w:rsid w:val="00715371"/>
    <w:rsid w:val="00723C79"/>
    <w:rsid w:val="00725D40"/>
    <w:rsid w:val="00741115"/>
    <w:rsid w:val="007412EA"/>
    <w:rsid w:val="00745B57"/>
    <w:rsid w:val="00753AA9"/>
    <w:rsid w:val="007543CC"/>
    <w:rsid w:val="00764569"/>
    <w:rsid w:val="00766BB8"/>
    <w:rsid w:val="00771094"/>
    <w:rsid w:val="00771C75"/>
    <w:rsid w:val="00771EAD"/>
    <w:rsid w:val="00783937"/>
    <w:rsid w:val="00784009"/>
    <w:rsid w:val="00786D63"/>
    <w:rsid w:val="00792337"/>
    <w:rsid w:val="00792EF6"/>
    <w:rsid w:val="00794774"/>
    <w:rsid w:val="00796EBF"/>
    <w:rsid w:val="00797424"/>
    <w:rsid w:val="007A0A56"/>
    <w:rsid w:val="007A20E5"/>
    <w:rsid w:val="007A4178"/>
    <w:rsid w:val="007A44CB"/>
    <w:rsid w:val="007A7ACE"/>
    <w:rsid w:val="007A7E8E"/>
    <w:rsid w:val="007C300A"/>
    <w:rsid w:val="007C5C95"/>
    <w:rsid w:val="007D0E9B"/>
    <w:rsid w:val="007D60D4"/>
    <w:rsid w:val="007E0EC6"/>
    <w:rsid w:val="007E0FAA"/>
    <w:rsid w:val="007E4311"/>
    <w:rsid w:val="007E50CE"/>
    <w:rsid w:val="007E6450"/>
    <w:rsid w:val="007E67F7"/>
    <w:rsid w:val="007F658C"/>
    <w:rsid w:val="007F6E45"/>
    <w:rsid w:val="00800B6F"/>
    <w:rsid w:val="008041D3"/>
    <w:rsid w:val="008077B1"/>
    <w:rsid w:val="0081173B"/>
    <w:rsid w:val="00833811"/>
    <w:rsid w:val="00834FE7"/>
    <w:rsid w:val="00836529"/>
    <w:rsid w:val="00836D02"/>
    <w:rsid w:val="008400DE"/>
    <w:rsid w:val="008407E4"/>
    <w:rsid w:val="00840D59"/>
    <w:rsid w:val="008451B1"/>
    <w:rsid w:val="00847A42"/>
    <w:rsid w:val="0085307B"/>
    <w:rsid w:val="00854A27"/>
    <w:rsid w:val="00861698"/>
    <w:rsid w:val="00862C48"/>
    <w:rsid w:val="0087479C"/>
    <w:rsid w:val="00875050"/>
    <w:rsid w:val="0087783D"/>
    <w:rsid w:val="00877E93"/>
    <w:rsid w:val="00882580"/>
    <w:rsid w:val="00885EAF"/>
    <w:rsid w:val="008952EA"/>
    <w:rsid w:val="00896893"/>
    <w:rsid w:val="008A5B02"/>
    <w:rsid w:val="008B6EC5"/>
    <w:rsid w:val="008B7BCD"/>
    <w:rsid w:val="008C050E"/>
    <w:rsid w:val="008C64F7"/>
    <w:rsid w:val="008C7AD3"/>
    <w:rsid w:val="008D4E57"/>
    <w:rsid w:val="008D7476"/>
    <w:rsid w:val="008E6CE9"/>
    <w:rsid w:val="008E7EC0"/>
    <w:rsid w:val="008F292F"/>
    <w:rsid w:val="008F6063"/>
    <w:rsid w:val="0091170E"/>
    <w:rsid w:val="009201BB"/>
    <w:rsid w:val="00922F09"/>
    <w:rsid w:val="0092413D"/>
    <w:rsid w:val="00927FC0"/>
    <w:rsid w:val="00932E02"/>
    <w:rsid w:val="00935CD2"/>
    <w:rsid w:val="00936EC9"/>
    <w:rsid w:val="0093779F"/>
    <w:rsid w:val="0094624D"/>
    <w:rsid w:val="009466FA"/>
    <w:rsid w:val="00952B1C"/>
    <w:rsid w:val="00952D9A"/>
    <w:rsid w:val="00962DFF"/>
    <w:rsid w:val="009633FE"/>
    <w:rsid w:val="00963C3C"/>
    <w:rsid w:val="009818D6"/>
    <w:rsid w:val="0098533A"/>
    <w:rsid w:val="0098707D"/>
    <w:rsid w:val="009931F7"/>
    <w:rsid w:val="0099322D"/>
    <w:rsid w:val="00997EF2"/>
    <w:rsid w:val="009B0E2B"/>
    <w:rsid w:val="009B4AFF"/>
    <w:rsid w:val="009B517D"/>
    <w:rsid w:val="009C1057"/>
    <w:rsid w:val="009C6B98"/>
    <w:rsid w:val="009D1321"/>
    <w:rsid w:val="009E27E3"/>
    <w:rsid w:val="009E75A2"/>
    <w:rsid w:val="009E7A9E"/>
    <w:rsid w:val="009F24FA"/>
    <w:rsid w:val="009F665B"/>
    <w:rsid w:val="00A0067F"/>
    <w:rsid w:val="00A00CBF"/>
    <w:rsid w:val="00A03F74"/>
    <w:rsid w:val="00A06185"/>
    <w:rsid w:val="00A17569"/>
    <w:rsid w:val="00A22D1A"/>
    <w:rsid w:val="00A22EEC"/>
    <w:rsid w:val="00A31F5A"/>
    <w:rsid w:val="00A32F75"/>
    <w:rsid w:val="00A34871"/>
    <w:rsid w:val="00A356BF"/>
    <w:rsid w:val="00A36B6A"/>
    <w:rsid w:val="00A37602"/>
    <w:rsid w:val="00A43B24"/>
    <w:rsid w:val="00A45CD2"/>
    <w:rsid w:val="00A472D5"/>
    <w:rsid w:val="00A503BE"/>
    <w:rsid w:val="00A505DC"/>
    <w:rsid w:val="00A55BF8"/>
    <w:rsid w:val="00A6563C"/>
    <w:rsid w:val="00A728ED"/>
    <w:rsid w:val="00A753C2"/>
    <w:rsid w:val="00A75CB9"/>
    <w:rsid w:val="00A766D9"/>
    <w:rsid w:val="00A81315"/>
    <w:rsid w:val="00A8665D"/>
    <w:rsid w:val="00A8738D"/>
    <w:rsid w:val="00A87501"/>
    <w:rsid w:val="00AA0E66"/>
    <w:rsid w:val="00AA1983"/>
    <w:rsid w:val="00AB0977"/>
    <w:rsid w:val="00AB1391"/>
    <w:rsid w:val="00AB2120"/>
    <w:rsid w:val="00AB731A"/>
    <w:rsid w:val="00AB7672"/>
    <w:rsid w:val="00AC2E60"/>
    <w:rsid w:val="00AD0B65"/>
    <w:rsid w:val="00AE351C"/>
    <w:rsid w:val="00AE43A7"/>
    <w:rsid w:val="00AF2A52"/>
    <w:rsid w:val="00B036D3"/>
    <w:rsid w:val="00B06B9D"/>
    <w:rsid w:val="00B13CCA"/>
    <w:rsid w:val="00B17612"/>
    <w:rsid w:val="00B2364E"/>
    <w:rsid w:val="00B249AA"/>
    <w:rsid w:val="00B27D1C"/>
    <w:rsid w:val="00B300A3"/>
    <w:rsid w:val="00B32AB7"/>
    <w:rsid w:val="00B404A8"/>
    <w:rsid w:val="00B42A07"/>
    <w:rsid w:val="00B4538C"/>
    <w:rsid w:val="00B4793F"/>
    <w:rsid w:val="00B52571"/>
    <w:rsid w:val="00B570EB"/>
    <w:rsid w:val="00B60641"/>
    <w:rsid w:val="00B63AAC"/>
    <w:rsid w:val="00B64BA6"/>
    <w:rsid w:val="00B67CCD"/>
    <w:rsid w:val="00B70CFC"/>
    <w:rsid w:val="00B72290"/>
    <w:rsid w:val="00B77A63"/>
    <w:rsid w:val="00B8027F"/>
    <w:rsid w:val="00B953F9"/>
    <w:rsid w:val="00BA0ACE"/>
    <w:rsid w:val="00BA17E9"/>
    <w:rsid w:val="00BA36CF"/>
    <w:rsid w:val="00BB181A"/>
    <w:rsid w:val="00BB217E"/>
    <w:rsid w:val="00BC5196"/>
    <w:rsid w:val="00BC7D31"/>
    <w:rsid w:val="00BD01FE"/>
    <w:rsid w:val="00BE3F7D"/>
    <w:rsid w:val="00BE5254"/>
    <w:rsid w:val="00BE776A"/>
    <w:rsid w:val="00BF65B9"/>
    <w:rsid w:val="00BF6A56"/>
    <w:rsid w:val="00BF6CB1"/>
    <w:rsid w:val="00C006DB"/>
    <w:rsid w:val="00C014B4"/>
    <w:rsid w:val="00C04A7D"/>
    <w:rsid w:val="00C10232"/>
    <w:rsid w:val="00C31901"/>
    <w:rsid w:val="00C4325A"/>
    <w:rsid w:val="00C444D3"/>
    <w:rsid w:val="00C457A6"/>
    <w:rsid w:val="00C50FF2"/>
    <w:rsid w:val="00C567D7"/>
    <w:rsid w:val="00C61EF6"/>
    <w:rsid w:val="00C62116"/>
    <w:rsid w:val="00C62D30"/>
    <w:rsid w:val="00C64F29"/>
    <w:rsid w:val="00C656FF"/>
    <w:rsid w:val="00C66108"/>
    <w:rsid w:val="00C7047B"/>
    <w:rsid w:val="00C75417"/>
    <w:rsid w:val="00C75A98"/>
    <w:rsid w:val="00C8258A"/>
    <w:rsid w:val="00C835D6"/>
    <w:rsid w:val="00C861F8"/>
    <w:rsid w:val="00C90068"/>
    <w:rsid w:val="00C90B74"/>
    <w:rsid w:val="00C92D51"/>
    <w:rsid w:val="00C93DB8"/>
    <w:rsid w:val="00C93F08"/>
    <w:rsid w:val="00CA04F2"/>
    <w:rsid w:val="00CA5BBB"/>
    <w:rsid w:val="00CA62ED"/>
    <w:rsid w:val="00CB343C"/>
    <w:rsid w:val="00CB4505"/>
    <w:rsid w:val="00CB768D"/>
    <w:rsid w:val="00CB7994"/>
    <w:rsid w:val="00CC3694"/>
    <w:rsid w:val="00CC3CCD"/>
    <w:rsid w:val="00CD33F6"/>
    <w:rsid w:val="00CE1CF3"/>
    <w:rsid w:val="00CE2DF5"/>
    <w:rsid w:val="00CE39F5"/>
    <w:rsid w:val="00D045A2"/>
    <w:rsid w:val="00D075F1"/>
    <w:rsid w:val="00D11886"/>
    <w:rsid w:val="00D11B26"/>
    <w:rsid w:val="00D15195"/>
    <w:rsid w:val="00D17BFC"/>
    <w:rsid w:val="00D2014B"/>
    <w:rsid w:val="00D2068E"/>
    <w:rsid w:val="00D23815"/>
    <w:rsid w:val="00D349F1"/>
    <w:rsid w:val="00D42219"/>
    <w:rsid w:val="00D47073"/>
    <w:rsid w:val="00D47B83"/>
    <w:rsid w:val="00D51BF7"/>
    <w:rsid w:val="00D52391"/>
    <w:rsid w:val="00D5770D"/>
    <w:rsid w:val="00D62691"/>
    <w:rsid w:val="00D62D07"/>
    <w:rsid w:val="00D650C0"/>
    <w:rsid w:val="00D6538F"/>
    <w:rsid w:val="00D7303D"/>
    <w:rsid w:val="00D84F30"/>
    <w:rsid w:val="00D85A4A"/>
    <w:rsid w:val="00D91261"/>
    <w:rsid w:val="00DA0E93"/>
    <w:rsid w:val="00DA20FB"/>
    <w:rsid w:val="00DB34F8"/>
    <w:rsid w:val="00DB6C21"/>
    <w:rsid w:val="00DC2EEA"/>
    <w:rsid w:val="00DD06E4"/>
    <w:rsid w:val="00DD4AF1"/>
    <w:rsid w:val="00DE3F05"/>
    <w:rsid w:val="00DE6CAC"/>
    <w:rsid w:val="00DE760E"/>
    <w:rsid w:val="00DF57DD"/>
    <w:rsid w:val="00E0037F"/>
    <w:rsid w:val="00E06775"/>
    <w:rsid w:val="00E132B2"/>
    <w:rsid w:val="00E22EA5"/>
    <w:rsid w:val="00E250FA"/>
    <w:rsid w:val="00E30BA6"/>
    <w:rsid w:val="00E32358"/>
    <w:rsid w:val="00E35C91"/>
    <w:rsid w:val="00E37E89"/>
    <w:rsid w:val="00E407EB"/>
    <w:rsid w:val="00E413ED"/>
    <w:rsid w:val="00E55BFE"/>
    <w:rsid w:val="00E56145"/>
    <w:rsid w:val="00E66F14"/>
    <w:rsid w:val="00E67423"/>
    <w:rsid w:val="00E67943"/>
    <w:rsid w:val="00E70FA7"/>
    <w:rsid w:val="00E80615"/>
    <w:rsid w:val="00E815F3"/>
    <w:rsid w:val="00E8326D"/>
    <w:rsid w:val="00E84E69"/>
    <w:rsid w:val="00E87238"/>
    <w:rsid w:val="00E9263D"/>
    <w:rsid w:val="00E936D0"/>
    <w:rsid w:val="00E94DCA"/>
    <w:rsid w:val="00E97449"/>
    <w:rsid w:val="00EA2AC4"/>
    <w:rsid w:val="00EA2E27"/>
    <w:rsid w:val="00EA4C4C"/>
    <w:rsid w:val="00EB242C"/>
    <w:rsid w:val="00EB3E72"/>
    <w:rsid w:val="00EC33DB"/>
    <w:rsid w:val="00EC3CAD"/>
    <w:rsid w:val="00EC7114"/>
    <w:rsid w:val="00ED2D7B"/>
    <w:rsid w:val="00ED3D6F"/>
    <w:rsid w:val="00EE1126"/>
    <w:rsid w:val="00EE132D"/>
    <w:rsid w:val="00EE1F60"/>
    <w:rsid w:val="00EE1FF5"/>
    <w:rsid w:val="00F003FC"/>
    <w:rsid w:val="00F00498"/>
    <w:rsid w:val="00F018F7"/>
    <w:rsid w:val="00F0246C"/>
    <w:rsid w:val="00F10F62"/>
    <w:rsid w:val="00F136B7"/>
    <w:rsid w:val="00F15337"/>
    <w:rsid w:val="00F160ED"/>
    <w:rsid w:val="00F21605"/>
    <w:rsid w:val="00F22A2A"/>
    <w:rsid w:val="00F2334F"/>
    <w:rsid w:val="00F23EB0"/>
    <w:rsid w:val="00F24DBE"/>
    <w:rsid w:val="00F30ACE"/>
    <w:rsid w:val="00F30C37"/>
    <w:rsid w:val="00F32229"/>
    <w:rsid w:val="00F4242C"/>
    <w:rsid w:val="00F4256B"/>
    <w:rsid w:val="00F53BC6"/>
    <w:rsid w:val="00F576CC"/>
    <w:rsid w:val="00F57E0A"/>
    <w:rsid w:val="00F60F59"/>
    <w:rsid w:val="00F61D6F"/>
    <w:rsid w:val="00F66138"/>
    <w:rsid w:val="00F72A50"/>
    <w:rsid w:val="00F85259"/>
    <w:rsid w:val="00F859B6"/>
    <w:rsid w:val="00F86025"/>
    <w:rsid w:val="00F9022A"/>
    <w:rsid w:val="00F9145C"/>
    <w:rsid w:val="00F9277E"/>
    <w:rsid w:val="00F92B3D"/>
    <w:rsid w:val="00F94A65"/>
    <w:rsid w:val="00F97DA8"/>
    <w:rsid w:val="00FA07F0"/>
    <w:rsid w:val="00FA3550"/>
    <w:rsid w:val="00FA4BBD"/>
    <w:rsid w:val="00FA6231"/>
    <w:rsid w:val="00FA7E59"/>
    <w:rsid w:val="00FB3C35"/>
    <w:rsid w:val="00FB7B7A"/>
    <w:rsid w:val="00FC1E83"/>
    <w:rsid w:val="00FC2449"/>
    <w:rsid w:val="00FC580E"/>
    <w:rsid w:val="00FC7235"/>
    <w:rsid w:val="00FC7D65"/>
    <w:rsid w:val="00FD3DD5"/>
    <w:rsid w:val="00FD5777"/>
    <w:rsid w:val="00FD59A8"/>
    <w:rsid w:val="00FE049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F80DF4-701D-44C3-BAEB-680EEF8A2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F3E9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maz_wyliczenie,opis dzialania,K-P_odwolanie,A_wyliczenie,Akapit z listą 1,Numerowanie,List Paragraph"/>
    <w:basedOn w:val="Normalny"/>
    <w:link w:val="AkapitzlistZnak"/>
    <w:uiPriority w:val="34"/>
    <w:qFormat/>
    <w:rsid w:val="00B8027F"/>
    <w:pPr>
      <w:spacing w:line="276" w:lineRule="auto"/>
      <w:ind w:left="720"/>
      <w:contextualSpacing/>
    </w:pPr>
    <w:rPr>
      <w:rFonts w:eastAsiaTheme="minorEastAsia"/>
      <w:lang w:eastAsia="pl-PL"/>
    </w:rPr>
  </w:style>
  <w:style w:type="character" w:customStyle="1" w:styleId="AkapitzlistZnak">
    <w:name w:val="Akapit z listą Znak"/>
    <w:aliases w:val="maz_wyliczenie Znak,opis dzialania Znak,K-P_odwolanie Znak,A_wyliczenie Znak,Akapit z listą 1 Znak,Numerowanie Znak,List Paragraph Znak"/>
    <w:link w:val="Akapitzlist"/>
    <w:uiPriority w:val="34"/>
    <w:qFormat/>
    <w:locked/>
    <w:rsid w:val="00B8027F"/>
    <w:rPr>
      <w:rFonts w:eastAsiaTheme="minorEastAsia"/>
      <w:lang w:eastAsia="pl-PL"/>
    </w:rPr>
  </w:style>
  <w:style w:type="paragraph" w:styleId="NormalnyWeb">
    <w:name w:val="Normal (Web)"/>
    <w:basedOn w:val="Normalny"/>
    <w:uiPriority w:val="99"/>
    <w:unhideWhenUsed/>
    <w:rsid w:val="00834FE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C10232"/>
    <w:rPr>
      <w:color w:val="0563C1" w:themeColor="hyperlink"/>
      <w:u w:val="single"/>
    </w:rPr>
  </w:style>
  <w:style w:type="paragraph" w:styleId="HTML-wstpniesformatowany">
    <w:name w:val="HTML Preformatted"/>
    <w:basedOn w:val="Normalny"/>
    <w:link w:val="HTML-wstpniesformatowanyZnak"/>
    <w:uiPriority w:val="99"/>
    <w:semiHidden/>
    <w:unhideWhenUsed/>
    <w:rsid w:val="00FB7B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FB7B7A"/>
    <w:rPr>
      <w:rFonts w:ascii="Courier New" w:eastAsia="Times New Roman" w:hAnsi="Courier New" w:cs="Courier New"/>
      <w:sz w:val="20"/>
      <w:szCs w:val="20"/>
      <w:lang w:eastAsia="pl-PL"/>
    </w:rPr>
  </w:style>
  <w:style w:type="paragraph" w:styleId="Nagwek">
    <w:name w:val="header"/>
    <w:basedOn w:val="Normalny"/>
    <w:link w:val="NagwekZnak"/>
    <w:uiPriority w:val="99"/>
    <w:unhideWhenUsed/>
    <w:rsid w:val="00F61D6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61D6F"/>
  </w:style>
  <w:style w:type="paragraph" w:styleId="Stopka">
    <w:name w:val="footer"/>
    <w:basedOn w:val="Normalny"/>
    <w:link w:val="StopkaZnak"/>
    <w:uiPriority w:val="99"/>
    <w:unhideWhenUsed/>
    <w:rsid w:val="00F61D6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61D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380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7</Pages>
  <Words>2804</Words>
  <Characters>16829</Characters>
  <Application>Microsoft Office Word</Application>
  <DocSecurity>0</DocSecurity>
  <Lines>140</Lines>
  <Paragraphs>39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19594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Michał Łapiński</dc:creator>
  <cp:lastModifiedBy>Michał Łapiński</cp:lastModifiedBy>
  <cp:revision>14</cp:revision>
  <dcterms:created xsi:type="dcterms:W3CDTF">2020-08-26T07:42:00Z</dcterms:created>
  <dcterms:modified xsi:type="dcterms:W3CDTF">2020-08-27T10:54:00Z</dcterms:modified>
</cp:coreProperties>
</file>